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31960763"/>
        <w:docPartObj>
          <w:docPartGallery w:val="Cover Pages"/>
          <w:docPartUnique/>
        </w:docPartObj>
      </w:sdtPr>
      <w:sdtEndPr>
        <w:rPr>
          <w:b/>
        </w:rPr>
      </w:sdtEndPr>
      <w:sdtContent>
        <w:p w14:paraId="0298F546" w14:textId="77777777" w:rsidR="00B00553" w:rsidRDefault="00B00553" w:rsidP="00330BD2">
          <w:pPr>
            <w:tabs>
              <w:tab w:val="left" w:leader="dot" w:pos="9792"/>
            </w:tabs>
          </w:pPr>
          <w:r>
            <w:rPr>
              <w:noProof/>
            </w:rPr>
            <mc:AlternateContent>
              <mc:Choice Requires="wps">
                <w:drawing>
                  <wp:anchor distT="0" distB="0" distL="114300" distR="114300" simplePos="0" relativeHeight="251661312" behindDoc="0" locked="0" layoutInCell="1" allowOverlap="1" wp14:anchorId="1AF3685A" wp14:editId="06F6FC85">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329674739"/>
                                  <w:dataBinding w:prefixMappings="xmlns:ns0='http://schemas.openxmlformats.org/package/2006/metadata/core-properties' xmlns:ns1='http://purl.org/dc/elements/1.1/'" w:xpath="/ns0:coreProperties[1]/ns1:title[1]" w:storeItemID="{6C3C8BC8-F283-45AE-878A-BAB7291924A1}"/>
                                  <w:text/>
                                </w:sdtPr>
                                <w:sdtEndPr/>
                                <w:sdtContent>
                                  <w:p w14:paraId="219B3717" w14:textId="77777777" w:rsidR="001B506F" w:rsidRDefault="001B506F">
                                    <w:pPr>
                                      <w:pStyle w:val="Title"/>
                                      <w:pBdr>
                                        <w:bottom w:val="none" w:sz="0" w:space="0" w:color="auto"/>
                                      </w:pBdr>
                                      <w:jc w:val="right"/>
                                      <w:rPr>
                                        <w:caps/>
                                        <w:color w:val="FFFFFF" w:themeColor="background1"/>
                                        <w:sz w:val="72"/>
                                        <w:szCs w:val="72"/>
                                      </w:rPr>
                                    </w:pPr>
                                    <w:r>
                                      <w:rPr>
                                        <w:caps/>
                                        <w:color w:val="FFFFFF" w:themeColor="background1"/>
                                        <w:sz w:val="72"/>
                                        <w:szCs w:val="72"/>
                                      </w:rPr>
                                      <w:t>Salish Kootenai College DIVISION of Education Data Analysis Report for 2014-17 OPI Review</w:t>
                                    </w:r>
                                  </w:p>
                                </w:sdtContent>
                              </w:sdt>
                              <w:p w14:paraId="5A9D4266" w14:textId="77777777" w:rsidR="001B506F" w:rsidRDefault="001B506F">
                                <w:pPr>
                                  <w:spacing w:before="240"/>
                                  <w:ind w:left="720"/>
                                  <w:jc w:val="right"/>
                                  <w:rPr>
                                    <w:color w:val="FFFFFF" w:themeColor="background1"/>
                                  </w:rPr>
                                </w:pPr>
                              </w:p>
                              <w:sdt>
                                <w:sdtPr>
                                  <w:rPr>
                                    <w:color w:val="FFFFFF" w:themeColor="background1"/>
                                    <w:sz w:val="21"/>
                                    <w:szCs w:val="21"/>
                                  </w:rPr>
                                  <w:alias w:val="Abstract"/>
                                  <w:id w:val="1312208029"/>
                                  <w:showingPlcHdr/>
                                  <w:dataBinding w:prefixMappings="xmlns:ns0='http://schemas.microsoft.com/office/2006/coverPageProps'" w:xpath="/ns0:CoverPageProperties[1]/ns0:Abstract[1]" w:storeItemID="{55AF091B-3C7A-41E3-B477-F2FDAA23CFDA}"/>
                                  <w:text/>
                                </w:sdtPr>
                                <w:sdtEndPr/>
                                <w:sdtContent>
                                  <w:p w14:paraId="5E09231C" w14:textId="77777777" w:rsidR="001B506F" w:rsidRDefault="001B506F">
                                    <w:pPr>
                                      <w:spacing w:before="240"/>
                                      <w:ind w:left="1008"/>
                                      <w:jc w:val="right"/>
                                      <w:rPr>
                                        <w:color w:val="FFFFFF" w:themeColor="background1"/>
                                      </w:rPr>
                                    </w:pPr>
                                    <w:r>
                                      <w:rPr>
                                        <w:color w:val="FFFFFF" w:themeColor="background1"/>
                                        <w:sz w:val="21"/>
                                        <w:szCs w:val="2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6131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72"/>
                              <w:szCs w:val="72"/>
                            </w:rPr>
                            <w:alias w:val="Title"/>
                            <w:id w:val="-1329674739"/>
                            <w:dataBinding w:prefixMappings="xmlns:ns0='http://schemas.openxmlformats.org/package/2006/metadata/core-properties' xmlns:ns1='http://purl.org/dc/elements/1.1/'" w:xpath="/ns0:coreProperties[1]/ns1:title[1]" w:storeItemID="{6C3C8BC8-F283-45AE-878A-BAB7291924A1}"/>
                            <w:text/>
                          </w:sdtPr>
                          <w:sdtContent>
                            <w:p w:rsidR="001B506F" w:rsidRDefault="001B506F">
                              <w:pPr>
                                <w:pStyle w:val="Title"/>
                                <w:pBdr>
                                  <w:bottom w:val="none" w:sz="0" w:space="0" w:color="auto"/>
                                </w:pBdr>
                                <w:jc w:val="right"/>
                                <w:rPr>
                                  <w:caps/>
                                  <w:color w:val="FFFFFF" w:themeColor="background1"/>
                                  <w:sz w:val="72"/>
                                  <w:szCs w:val="72"/>
                                </w:rPr>
                              </w:pPr>
                              <w:r>
                                <w:rPr>
                                  <w:caps/>
                                  <w:color w:val="FFFFFF" w:themeColor="background1"/>
                                  <w:sz w:val="72"/>
                                  <w:szCs w:val="72"/>
                                </w:rPr>
                                <w:t xml:space="preserve">Salish Kootenai College DIVISION of Education Data Analysis Report for 2014-17 </w:t>
                              </w:r>
                              <w:proofErr w:type="spellStart"/>
                              <w:r>
                                <w:rPr>
                                  <w:caps/>
                                  <w:color w:val="FFFFFF" w:themeColor="background1"/>
                                  <w:sz w:val="72"/>
                                  <w:szCs w:val="72"/>
                                </w:rPr>
                                <w:t>OPI</w:t>
                              </w:r>
                              <w:proofErr w:type="spellEnd"/>
                              <w:r>
                                <w:rPr>
                                  <w:caps/>
                                  <w:color w:val="FFFFFF" w:themeColor="background1"/>
                                  <w:sz w:val="72"/>
                                  <w:szCs w:val="72"/>
                                </w:rPr>
                                <w:t xml:space="preserve"> Review</w:t>
                              </w:r>
                            </w:p>
                          </w:sdtContent>
                        </w:sdt>
                        <w:p w:rsidR="001B506F" w:rsidRDefault="001B506F">
                          <w:pPr>
                            <w:spacing w:before="240"/>
                            <w:ind w:left="720"/>
                            <w:jc w:val="right"/>
                            <w:rPr>
                              <w:color w:val="FFFFFF" w:themeColor="background1"/>
                            </w:rPr>
                          </w:pPr>
                        </w:p>
                        <w:sdt>
                          <w:sdtPr>
                            <w:rPr>
                              <w:color w:val="FFFFFF" w:themeColor="background1"/>
                              <w:sz w:val="21"/>
                              <w:szCs w:val="21"/>
                            </w:rPr>
                            <w:alias w:val="Abstract"/>
                            <w:id w:val="1312208029"/>
                            <w:showingPlcHdr/>
                            <w:dataBinding w:prefixMappings="xmlns:ns0='http://schemas.microsoft.com/office/2006/coverPageProps'" w:xpath="/ns0:CoverPageProperties[1]/ns0:Abstract[1]" w:storeItemID="{55AF091B-3C7A-41E3-B477-F2FDAA23CFDA}"/>
                            <w:text/>
                          </w:sdtPr>
                          <w:sdtContent>
                            <w:p w:rsidR="001B506F" w:rsidRDefault="001B506F">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4C423A28" wp14:editId="23BDE115">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249696416"/>
                                  <w:showingPlcHdr/>
                                  <w:dataBinding w:prefixMappings="xmlns:ns0='http://schemas.openxmlformats.org/package/2006/metadata/core-properties' xmlns:ns1='http://purl.org/dc/elements/1.1/'" w:xpath="/ns0:coreProperties[1]/ns1:subject[1]" w:storeItemID="{6C3C8BC8-F283-45AE-878A-BAB7291924A1}"/>
                                  <w:text/>
                                </w:sdtPr>
                                <w:sdtEndPr/>
                                <w:sdtContent>
                                  <w:p w14:paraId="2E00A29A" w14:textId="77777777" w:rsidR="001B506F" w:rsidRDefault="001B506F">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233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1249696416"/>
                            <w:showingPlcHdr/>
                            <w:dataBinding w:prefixMappings="xmlns:ns0='http://schemas.openxmlformats.org/package/2006/metadata/core-properties' xmlns:ns1='http://purl.org/dc/elements/1.1/'" w:xpath="/ns0:coreProperties[1]/ns1:subject[1]" w:storeItemID="{6C3C8BC8-F283-45AE-878A-BAB7291924A1}"/>
                            <w:text/>
                          </w:sdtPr>
                          <w:sdtContent>
                            <w:p w:rsidR="001B506F" w:rsidRDefault="001B506F">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r>
            <w:t>S</w:t>
          </w:r>
        </w:p>
        <w:p w14:paraId="410632BB" w14:textId="77777777" w:rsidR="00B00553" w:rsidRDefault="00B00553" w:rsidP="00330BD2">
          <w:pPr>
            <w:tabs>
              <w:tab w:val="left" w:leader="dot" w:pos="9792"/>
            </w:tabs>
          </w:pPr>
        </w:p>
        <w:p w14:paraId="25D50189" w14:textId="77777777" w:rsidR="00ED0C4D" w:rsidRDefault="00B00553" w:rsidP="00330BD2">
          <w:pPr>
            <w:tabs>
              <w:tab w:val="left" w:leader="dot" w:pos="9792"/>
            </w:tabs>
            <w:rPr>
              <w:b/>
            </w:rPr>
          </w:pPr>
          <w:r>
            <w:rPr>
              <w:b/>
            </w:rPr>
            <w:br w:type="page"/>
          </w:r>
        </w:p>
        <w:sdt>
          <w:sdtPr>
            <w:rPr>
              <w:rFonts w:ascii="Times New Roman" w:eastAsiaTheme="minorHAnsi" w:hAnsi="Times New Roman" w:cs="Times New Roman"/>
              <w:b w:val="0"/>
              <w:bCs w:val="0"/>
              <w:color w:val="auto"/>
              <w:sz w:val="24"/>
              <w:szCs w:val="22"/>
              <w:lang w:eastAsia="en-US"/>
            </w:rPr>
            <w:id w:val="339896312"/>
            <w:docPartObj>
              <w:docPartGallery w:val="Table of Contents"/>
              <w:docPartUnique/>
            </w:docPartObj>
          </w:sdtPr>
          <w:sdtEndPr>
            <w:rPr>
              <w:noProof/>
            </w:rPr>
          </w:sdtEndPr>
          <w:sdtContent>
            <w:p w14:paraId="77A8A7D4" w14:textId="77777777" w:rsidR="00ED0C4D" w:rsidRPr="00ED0C4D" w:rsidRDefault="00ED0C4D" w:rsidP="00EF1A55">
              <w:pPr>
                <w:pStyle w:val="TOCHeading"/>
              </w:pPr>
              <w:r w:rsidRPr="009F42E1">
                <w:rPr>
                  <w:rFonts w:ascii="Times New Roman" w:hAnsi="Times New Roman" w:cs="Times New Roman"/>
                  <w:sz w:val="24"/>
                </w:rPr>
                <w:t>Table</w:t>
              </w:r>
              <w:r>
                <w:t xml:space="preserve"> of Contents</w:t>
              </w:r>
            </w:p>
            <w:p w14:paraId="1C3B5FA9" w14:textId="77777777" w:rsidR="0066404D" w:rsidRDefault="00ED0C4D">
              <w:pPr>
                <w:pStyle w:val="TOC1"/>
                <w:rPr>
                  <w:rFonts w:asciiTheme="minorHAnsi" w:eastAsiaTheme="minorEastAsia" w:hAnsiTheme="minorHAnsi" w:cstheme="minorBidi"/>
                  <w:noProof/>
                  <w:sz w:val="22"/>
                </w:rPr>
              </w:pPr>
              <w:r w:rsidRPr="006B0A16">
                <w:rPr>
                  <w:b/>
                </w:rPr>
                <w:fldChar w:fldCharType="begin"/>
              </w:r>
              <w:r w:rsidRPr="006B0A16">
                <w:rPr>
                  <w:b/>
                </w:rPr>
                <w:instrText xml:space="preserve"> TOC \o "1-3" \h \z \u </w:instrText>
              </w:r>
              <w:r w:rsidRPr="006B0A16">
                <w:rPr>
                  <w:b/>
                </w:rPr>
                <w:fldChar w:fldCharType="separate"/>
              </w:r>
              <w:hyperlink w:anchor="_Toc493221875" w:history="1">
                <w:r w:rsidR="0066404D" w:rsidRPr="003F47EA">
                  <w:rPr>
                    <w:rStyle w:val="Hyperlink"/>
                    <w:noProof/>
                  </w:rPr>
                  <w:t>Assessment Framework</w:t>
                </w:r>
                <w:r w:rsidR="0066404D">
                  <w:rPr>
                    <w:noProof/>
                    <w:webHidden/>
                  </w:rPr>
                  <w:tab/>
                </w:r>
                <w:r w:rsidR="0066404D">
                  <w:rPr>
                    <w:noProof/>
                    <w:webHidden/>
                  </w:rPr>
                  <w:fldChar w:fldCharType="begin"/>
                </w:r>
                <w:r w:rsidR="0066404D">
                  <w:rPr>
                    <w:noProof/>
                    <w:webHidden/>
                  </w:rPr>
                  <w:instrText xml:space="preserve"> PAGEREF _Toc493221875 \h </w:instrText>
                </w:r>
                <w:r w:rsidR="0066404D">
                  <w:rPr>
                    <w:noProof/>
                    <w:webHidden/>
                  </w:rPr>
                </w:r>
                <w:r w:rsidR="0066404D">
                  <w:rPr>
                    <w:noProof/>
                    <w:webHidden/>
                  </w:rPr>
                  <w:fldChar w:fldCharType="separate"/>
                </w:r>
                <w:r w:rsidR="0066404D">
                  <w:rPr>
                    <w:noProof/>
                    <w:webHidden/>
                  </w:rPr>
                  <w:t>3</w:t>
                </w:r>
                <w:r w:rsidR="0066404D">
                  <w:rPr>
                    <w:noProof/>
                    <w:webHidden/>
                  </w:rPr>
                  <w:fldChar w:fldCharType="end"/>
                </w:r>
              </w:hyperlink>
            </w:p>
            <w:p w14:paraId="2CD1A2BF"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876" w:history="1">
                <w:r w:rsidR="0066404D" w:rsidRPr="003F47EA">
                  <w:rPr>
                    <w:rStyle w:val="Hyperlink"/>
                    <w:noProof/>
                  </w:rPr>
                  <w:t>Stage I: TEP 1.</w:t>
                </w:r>
                <w:r w:rsidR="0066404D">
                  <w:rPr>
                    <w:noProof/>
                    <w:webHidden/>
                  </w:rPr>
                  <w:tab/>
                </w:r>
                <w:r w:rsidR="0066404D">
                  <w:rPr>
                    <w:noProof/>
                    <w:webHidden/>
                  </w:rPr>
                  <w:fldChar w:fldCharType="begin"/>
                </w:r>
                <w:r w:rsidR="0066404D">
                  <w:rPr>
                    <w:noProof/>
                    <w:webHidden/>
                  </w:rPr>
                  <w:instrText xml:space="preserve"> PAGEREF _Toc493221876 \h </w:instrText>
                </w:r>
                <w:r w:rsidR="0066404D">
                  <w:rPr>
                    <w:noProof/>
                    <w:webHidden/>
                  </w:rPr>
                </w:r>
                <w:r w:rsidR="0066404D">
                  <w:rPr>
                    <w:noProof/>
                    <w:webHidden/>
                  </w:rPr>
                  <w:fldChar w:fldCharType="separate"/>
                </w:r>
                <w:r w:rsidR="0066404D">
                  <w:rPr>
                    <w:noProof/>
                    <w:webHidden/>
                  </w:rPr>
                  <w:t>3</w:t>
                </w:r>
                <w:r w:rsidR="0066404D">
                  <w:rPr>
                    <w:noProof/>
                    <w:webHidden/>
                  </w:rPr>
                  <w:fldChar w:fldCharType="end"/>
                </w:r>
              </w:hyperlink>
            </w:p>
            <w:p w14:paraId="015D56C0"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877" w:history="1">
                <w:r w:rsidR="0066404D" w:rsidRPr="003F47EA">
                  <w:rPr>
                    <w:rStyle w:val="Hyperlink"/>
                    <w:noProof/>
                  </w:rPr>
                  <w:t>Stage II: TEP 2.</w:t>
                </w:r>
                <w:r w:rsidR="0066404D">
                  <w:rPr>
                    <w:noProof/>
                    <w:webHidden/>
                  </w:rPr>
                  <w:tab/>
                </w:r>
                <w:r w:rsidR="0066404D">
                  <w:rPr>
                    <w:noProof/>
                    <w:webHidden/>
                  </w:rPr>
                  <w:fldChar w:fldCharType="begin"/>
                </w:r>
                <w:r w:rsidR="0066404D">
                  <w:rPr>
                    <w:noProof/>
                    <w:webHidden/>
                  </w:rPr>
                  <w:instrText xml:space="preserve"> PAGEREF _Toc493221877 \h </w:instrText>
                </w:r>
                <w:r w:rsidR="0066404D">
                  <w:rPr>
                    <w:noProof/>
                    <w:webHidden/>
                  </w:rPr>
                </w:r>
                <w:r w:rsidR="0066404D">
                  <w:rPr>
                    <w:noProof/>
                    <w:webHidden/>
                  </w:rPr>
                  <w:fldChar w:fldCharType="separate"/>
                </w:r>
                <w:r w:rsidR="0066404D">
                  <w:rPr>
                    <w:noProof/>
                    <w:webHidden/>
                  </w:rPr>
                  <w:t>3</w:t>
                </w:r>
                <w:r w:rsidR="0066404D">
                  <w:rPr>
                    <w:noProof/>
                    <w:webHidden/>
                  </w:rPr>
                  <w:fldChar w:fldCharType="end"/>
                </w:r>
              </w:hyperlink>
            </w:p>
            <w:p w14:paraId="74D5C3A9"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878" w:history="1">
                <w:r w:rsidR="0066404D" w:rsidRPr="003F47EA">
                  <w:rPr>
                    <w:rStyle w:val="Hyperlink"/>
                    <w:noProof/>
                  </w:rPr>
                  <w:t>Stage III: TEP 3.</w:t>
                </w:r>
                <w:r w:rsidR="0066404D">
                  <w:rPr>
                    <w:noProof/>
                    <w:webHidden/>
                  </w:rPr>
                  <w:tab/>
                </w:r>
                <w:r w:rsidR="0066404D">
                  <w:rPr>
                    <w:noProof/>
                    <w:webHidden/>
                  </w:rPr>
                  <w:fldChar w:fldCharType="begin"/>
                </w:r>
                <w:r w:rsidR="0066404D">
                  <w:rPr>
                    <w:noProof/>
                    <w:webHidden/>
                  </w:rPr>
                  <w:instrText xml:space="preserve"> PAGEREF _Toc493221878 \h </w:instrText>
                </w:r>
                <w:r w:rsidR="0066404D">
                  <w:rPr>
                    <w:noProof/>
                    <w:webHidden/>
                  </w:rPr>
                </w:r>
                <w:r w:rsidR="0066404D">
                  <w:rPr>
                    <w:noProof/>
                    <w:webHidden/>
                  </w:rPr>
                  <w:fldChar w:fldCharType="separate"/>
                </w:r>
                <w:r w:rsidR="0066404D">
                  <w:rPr>
                    <w:noProof/>
                    <w:webHidden/>
                  </w:rPr>
                  <w:t>4</w:t>
                </w:r>
                <w:r w:rsidR="0066404D">
                  <w:rPr>
                    <w:noProof/>
                    <w:webHidden/>
                  </w:rPr>
                  <w:fldChar w:fldCharType="end"/>
                </w:r>
              </w:hyperlink>
            </w:p>
            <w:p w14:paraId="47C02846" w14:textId="77777777" w:rsidR="0066404D" w:rsidRDefault="00366323">
              <w:pPr>
                <w:pStyle w:val="TOC1"/>
                <w:rPr>
                  <w:rFonts w:asciiTheme="minorHAnsi" w:eastAsiaTheme="minorEastAsia" w:hAnsiTheme="minorHAnsi" w:cstheme="minorBidi"/>
                  <w:noProof/>
                  <w:sz w:val="22"/>
                </w:rPr>
              </w:pPr>
              <w:hyperlink w:anchor="_Toc493221879" w:history="1">
                <w:r w:rsidR="0066404D" w:rsidRPr="003F47EA">
                  <w:rPr>
                    <w:rStyle w:val="Hyperlink"/>
                    <w:noProof/>
                  </w:rPr>
                  <w:t>Division Assessment Definitions</w:t>
                </w:r>
                <w:r w:rsidR="0066404D">
                  <w:rPr>
                    <w:noProof/>
                    <w:webHidden/>
                  </w:rPr>
                  <w:tab/>
                </w:r>
                <w:r w:rsidR="0066404D">
                  <w:rPr>
                    <w:noProof/>
                    <w:webHidden/>
                  </w:rPr>
                  <w:fldChar w:fldCharType="begin"/>
                </w:r>
                <w:r w:rsidR="0066404D">
                  <w:rPr>
                    <w:noProof/>
                    <w:webHidden/>
                  </w:rPr>
                  <w:instrText xml:space="preserve"> PAGEREF _Toc493221879 \h </w:instrText>
                </w:r>
                <w:r w:rsidR="0066404D">
                  <w:rPr>
                    <w:noProof/>
                    <w:webHidden/>
                  </w:rPr>
                </w:r>
                <w:r w:rsidR="0066404D">
                  <w:rPr>
                    <w:noProof/>
                    <w:webHidden/>
                  </w:rPr>
                  <w:fldChar w:fldCharType="separate"/>
                </w:r>
                <w:r w:rsidR="0066404D">
                  <w:rPr>
                    <w:noProof/>
                    <w:webHidden/>
                  </w:rPr>
                  <w:t>4</w:t>
                </w:r>
                <w:r w:rsidR="0066404D">
                  <w:rPr>
                    <w:noProof/>
                    <w:webHidden/>
                  </w:rPr>
                  <w:fldChar w:fldCharType="end"/>
                </w:r>
              </w:hyperlink>
            </w:p>
            <w:p w14:paraId="31D5F0CE" w14:textId="77777777" w:rsidR="0066404D" w:rsidRDefault="00366323">
              <w:pPr>
                <w:pStyle w:val="TOC1"/>
                <w:rPr>
                  <w:rFonts w:asciiTheme="minorHAnsi" w:eastAsiaTheme="minorEastAsia" w:hAnsiTheme="minorHAnsi" w:cstheme="minorBidi"/>
                  <w:noProof/>
                  <w:sz w:val="22"/>
                </w:rPr>
              </w:pPr>
              <w:hyperlink w:anchor="_Toc493221880" w:history="1">
                <w:r w:rsidR="0066404D" w:rsidRPr="003F47EA">
                  <w:rPr>
                    <w:rStyle w:val="Hyperlink"/>
                    <w:noProof/>
                  </w:rPr>
                  <w:t>Major Components of Assessment</w:t>
                </w:r>
                <w:r w:rsidR="0066404D">
                  <w:rPr>
                    <w:noProof/>
                    <w:webHidden/>
                  </w:rPr>
                  <w:tab/>
                </w:r>
                <w:r w:rsidR="0066404D">
                  <w:rPr>
                    <w:noProof/>
                    <w:webHidden/>
                  </w:rPr>
                  <w:fldChar w:fldCharType="begin"/>
                </w:r>
                <w:r w:rsidR="0066404D">
                  <w:rPr>
                    <w:noProof/>
                    <w:webHidden/>
                  </w:rPr>
                  <w:instrText xml:space="preserve"> PAGEREF _Toc493221880 \h </w:instrText>
                </w:r>
                <w:r w:rsidR="0066404D">
                  <w:rPr>
                    <w:noProof/>
                    <w:webHidden/>
                  </w:rPr>
                </w:r>
                <w:r w:rsidR="0066404D">
                  <w:rPr>
                    <w:noProof/>
                    <w:webHidden/>
                  </w:rPr>
                  <w:fldChar w:fldCharType="separate"/>
                </w:r>
                <w:r w:rsidR="0066404D">
                  <w:rPr>
                    <w:noProof/>
                    <w:webHidden/>
                  </w:rPr>
                  <w:t>5</w:t>
                </w:r>
                <w:r w:rsidR="0066404D">
                  <w:rPr>
                    <w:noProof/>
                    <w:webHidden/>
                  </w:rPr>
                  <w:fldChar w:fldCharType="end"/>
                </w:r>
              </w:hyperlink>
            </w:p>
            <w:p w14:paraId="7783CD79"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881" w:history="1">
                <w:r w:rsidR="0066404D" w:rsidRPr="003F47EA">
                  <w:rPr>
                    <w:rStyle w:val="Hyperlink"/>
                    <w:noProof/>
                  </w:rPr>
                  <w:t>TEP.</w:t>
                </w:r>
                <w:r w:rsidR="0066404D">
                  <w:rPr>
                    <w:noProof/>
                    <w:webHidden/>
                  </w:rPr>
                  <w:tab/>
                </w:r>
                <w:r w:rsidR="0066404D">
                  <w:rPr>
                    <w:noProof/>
                    <w:webHidden/>
                  </w:rPr>
                  <w:fldChar w:fldCharType="begin"/>
                </w:r>
                <w:r w:rsidR="0066404D">
                  <w:rPr>
                    <w:noProof/>
                    <w:webHidden/>
                  </w:rPr>
                  <w:instrText xml:space="preserve"> PAGEREF _Toc493221881 \h </w:instrText>
                </w:r>
                <w:r w:rsidR="0066404D">
                  <w:rPr>
                    <w:noProof/>
                    <w:webHidden/>
                  </w:rPr>
                </w:r>
                <w:r w:rsidR="0066404D">
                  <w:rPr>
                    <w:noProof/>
                    <w:webHidden/>
                  </w:rPr>
                  <w:fldChar w:fldCharType="separate"/>
                </w:r>
                <w:r w:rsidR="0066404D">
                  <w:rPr>
                    <w:noProof/>
                    <w:webHidden/>
                  </w:rPr>
                  <w:t>5</w:t>
                </w:r>
                <w:r w:rsidR="0066404D">
                  <w:rPr>
                    <w:noProof/>
                    <w:webHidden/>
                  </w:rPr>
                  <w:fldChar w:fldCharType="end"/>
                </w:r>
              </w:hyperlink>
            </w:p>
            <w:p w14:paraId="166E9578"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882" w:history="1">
                <w:r w:rsidR="0066404D" w:rsidRPr="003F47EA">
                  <w:rPr>
                    <w:rStyle w:val="Hyperlink"/>
                    <w:noProof/>
                  </w:rPr>
                  <w:t>TPT.</w:t>
                </w:r>
                <w:r w:rsidR="0066404D">
                  <w:rPr>
                    <w:noProof/>
                    <w:webHidden/>
                  </w:rPr>
                  <w:tab/>
                </w:r>
                <w:r w:rsidR="0066404D">
                  <w:rPr>
                    <w:noProof/>
                    <w:webHidden/>
                  </w:rPr>
                  <w:fldChar w:fldCharType="begin"/>
                </w:r>
                <w:r w:rsidR="0066404D">
                  <w:rPr>
                    <w:noProof/>
                    <w:webHidden/>
                  </w:rPr>
                  <w:instrText xml:space="preserve"> PAGEREF _Toc493221882 \h </w:instrText>
                </w:r>
                <w:r w:rsidR="0066404D">
                  <w:rPr>
                    <w:noProof/>
                    <w:webHidden/>
                  </w:rPr>
                </w:r>
                <w:r w:rsidR="0066404D">
                  <w:rPr>
                    <w:noProof/>
                    <w:webHidden/>
                  </w:rPr>
                  <w:fldChar w:fldCharType="separate"/>
                </w:r>
                <w:r w:rsidR="0066404D">
                  <w:rPr>
                    <w:noProof/>
                    <w:webHidden/>
                  </w:rPr>
                  <w:t>5</w:t>
                </w:r>
                <w:r w:rsidR="0066404D">
                  <w:rPr>
                    <w:noProof/>
                    <w:webHidden/>
                  </w:rPr>
                  <w:fldChar w:fldCharType="end"/>
                </w:r>
              </w:hyperlink>
            </w:p>
            <w:p w14:paraId="2B68CF79"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883" w:history="1">
                <w:r w:rsidR="0066404D" w:rsidRPr="003F47EA">
                  <w:rPr>
                    <w:rStyle w:val="Hyperlink"/>
                    <w:noProof/>
                  </w:rPr>
                  <w:t>MACK scores.</w:t>
                </w:r>
                <w:r w:rsidR="0066404D">
                  <w:rPr>
                    <w:noProof/>
                    <w:webHidden/>
                  </w:rPr>
                  <w:tab/>
                </w:r>
                <w:r w:rsidR="0066404D">
                  <w:rPr>
                    <w:noProof/>
                    <w:webHidden/>
                  </w:rPr>
                  <w:fldChar w:fldCharType="begin"/>
                </w:r>
                <w:r w:rsidR="0066404D">
                  <w:rPr>
                    <w:noProof/>
                    <w:webHidden/>
                  </w:rPr>
                  <w:instrText xml:space="preserve"> PAGEREF _Toc493221883 \h </w:instrText>
                </w:r>
                <w:r w:rsidR="0066404D">
                  <w:rPr>
                    <w:noProof/>
                    <w:webHidden/>
                  </w:rPr>
                </w:r>
                <w:r w:rsidR="0066404D">
                  <w:rPr>
                    <w:noProof/>
                    <w:webHidden/>
                  </w:rPr>
                  <w:fldChar w:fldCharType="separate"/>
                </w:r>
                <w:r w:rsidR="0066404D">
                  <w:rPr>
                    <w:noProof/>
                    <w:webHidden/>
                  </w:rPr>
                  <w:t>5</w:t>
                </w:r>
                <w:r w:rsidR="0066404D">
                  <w:rPr>
                    <w:noProof/>
                    <w:webHidden/>
                  </w:rPr>
                  <w:fldChar w:fldCharType="end"/>
                </w:r>
              </w:hyperlink>
            </w:p>
            <w:p w14:paraId="6EEC153E" w14:textId="77777777" w:rsidR="0066404D" w:rsidRDefault="00366323">
              <w:pPr>
                <w:pStyle w:val="TOC1"/>
                <w:rPr>
                  <w:rFonts w:asciiTheme="minorHAnsi" w:eastAsiaTheme="minorEastAsia" w:hAnsiTheme="minorHAnsi" w:cstheme="minorBidi"/>
                  <w:noProof/>
                  <w:sz w:val="22"/>
                </w:rPr>
              </w:pPr>
              <w:hyperlink w:anchor="_Toc493221884" w:history="1">
                <w:r w:rsidR="0066404D" w:rsidRPr="003F47EA">
                  <w:rPr>
                    <w:rStyle w:val="Hyperlink"/>
                    <w:noProof/>
                  </w:rPr>
                  <w:t>Distinctions Preliminary to Analyses</w:t>
                </w:r>
                <w:r w:rsidR="0066404D">
                  <w:rPr>
                    <w:noProof/>
                    <w:webHidden/>
                  </w:rPr>
                  <w:tab/>
                </w:r>
                <w:r w:rsidR="0066404D">
                  <w:rPr>
                    <w:noProof/>
                    <w:webHidden/>
                  </w:rPr>
                  <w:fldChar w:fldCharType="begin"/>
                </w:r>
                <w:r w:rsidR="0066404D">
                  <w:rPr>
                    <w:noProof/>
                    <w:webHidden/>
                  </w:rPr>
                  <w:instrText xml:space="preserve"> PAGEREF _Toc493221884 \h </w:instrText>
                </w:r>
                <w:r w:rsidR="0066404D">
                  <w:rPr>
                    <w:noProof/>
                    <w:webHidden/>
                  </w:rPr>
                </w:r>
                <w:r w:rsidR="0066404D">
                  <w:rPr>
                    <w:noProof/>
                    <w:webHidden/>
                  </w:rPr>
                  <w:fldChar w:fldCharType="separate"/>
                </w:r>
                <w:r w:rsidR="0066404D">
                  <w:rPr>
                    <w:noProof/>
                    <w:webHidden/>
                  </w:rPr>
                  <w:t>6</w:t>
                </w:r>
                <w:r w:rsidR="0066404D">
                  <w:rPr>
                    <w:noProof/>
                    <w:webHidden/>
                  </w:rPr>
                  <w:fldChar w:fldCharType="end"/>
                </w:r>
              </w:hyperlink>
            </w:p>
            <w:p w14:paraId="71F7E5E1" w14:textId="77777777" w:rsidR="0066404D" w:rsidRDefault="00366323">
              <w:pPr>
                <w:pStyle w:val="TOC1"/>
                <w:rPr>
                  <w:rFonts w:asciiTheme="minorHAnsi" w:eastAsiaTheme="minorEastAsia" w:hAnsiTheme="minorHAnsi" w:cstheme="minorBidi"/>
                  <w:noProof/>
                  <w:sz w:val="22"/>
                </w:rPr>
              </w:pPr>
              <w:hyperlink w:anchor="_Toc493221885" w:history="1">
                <w:r w:rsidR="0066404D" w:rsidRPr="003F47EA">
                  <w:rPr>
                    <w:rStyle w:val="Hyperlink"/>
                    <w:noProof/>
                  </w:rPr>
                  <w:t>Analysis of Division of Education Data</w:t>
                </w:r>
                <w:r w:rsidR="0066404D">
                  <w:rPr>
                    <w:noProof/>
                    <w:webHidden/>
                  </w:rPr>
                  <w:tab/>
                </w:r>
                <w:r w:rsidR="0066404D">
                  <w:rPr>
                    <w:noProof/>
                    <w:webHidden/>
                  </w:rPr>
                  <w:fldChar w:fldCharType="begin"/>
                </w:r>
                <w:r w:rsidR="0066404D">
                  <w:rPr>
                    <w:noProof/>
                    <w:webHidden/>
                  </w:rPr>
                  <w:instrText xml:space="preserve"> PAGEREF _Toc493221885 \h </w:instrText>
                </w:r>
                <w:r w:rsidR="0066404D">
                  <w:rPr>
                    <w:noProof/>
                    <w:webHidden/>
                  </w:rPr>
                </w:r>
                <w:r w:rsidR="0066404D">
                  <w:rPr>
                    <w:noProof/>
                    <w:webHidden/>
                  </w:rPr>
                  <w:fldChar w:fldCharType="separate"/>
                </w:r>
                <w:r w:rsidR="0066404D">
                  <w:rPr>
                    <w:noProof/>
                    <w:webHidden/>
                  </w:rPr>
                  <w:t>6</w:t>
                </w:r>
                <w:r w:rsidR="0066404D">
                  <w:rPr>
                    <w:noProof/>
                    <w:webHidden/>
                  </w:rPr>
                  <w:fldChar w:fldCharType="end"/>
                </w:r>
              </w:hyperlink>
            </w:p>
            <w:p w14:paraId="4E3ADA67"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886" w:history="1">
                <w:r w:rsidR="0066404D" w:rsidRPr="003F47EA">
                  <w:rPr>
                    <w:rStyle w:val="Hyperlink"/>
                    <w:noProof/>
                  </w:rPr>
                  <w:t>Analysis of InTASC/501 teaching standards.</w:t>
                </w:r>
                <w:r w:rsidR="0066404D">
                  <w:rPr>
                    <w:noProof/>
                    <w:webHidden/>
                  </w:rPr>
                  <w:tab/>
                </w:r>
                <w:r w:rsidR="0066404D">
                  <w:rPr>
                    <w:noProof/>
                    <w:webHidden/>
                  </w:rPr>
                  <w:fldChar w:fldCharType="begin"/>
                </w:r>
                <w:r w:rsidR="0066404D">
                  <w:rPr>
                    <w:noProof/>
                    <w:webHidden/>
                  </w:rPr>
                  <w:instrText xml:space="preserve"> PAGEREF _Toc493221886 \h </w:instrText>
                </w:r>
                <w:r w:rsidR="0066404D">
                  <w:rPr>
                    <w:noProof/>
                    <w:webHidden/>
                  </w:rPr>
                </w:r>
                <w:r w:rsidR="0066404D">
                  <w:rPr>
                    <w:noProof/>
                    <w:webHidden/>
                  </w:rPr>
                  <w:fldChar w:fldCharType="separate"/>
                </w:r>
                <w:r w:rsidR="0066404D">
                  <w:rPr>
                    <w:noProof/>
                    <w:webHidden/>
                  </w:rPr>
                  <w:t>6</w:t>
                </w:r>
                <w:r w:rsidR="0066404D">
                  <w:rPr>
                    <w:noProof/>
                    <w:webHidden/>
                  </w:rPr>
                  <w:fldChar w:fldCharType="end"/>
                </w:r>
              </w:hyperlink>
            </w:p>
            <w:p w14:paraId="42D99063" w14:textId="77777777" w:rsidR="0066404D" w:rsidRDefault="00366323">
              <w:pPr>
                <w:pStyle w:val="TOC3"/>
                <w:rPr>
                  <w:rFonts w:asciiTheme="minorHAnsi" w:eastAsiaTheme="minorEastAsia" w:hAnsiTheme="minorHAnsi" w:cstheme="minorBidi"/>
                  <w:b w:val="0"/>
                  <w:i w:val="0"/>
                  <w:sz w:val="22"/>
                </w:rPr>
              </w:pPr>
              <w:hyperlink w:anchor="_Toc493221887" w:history="1">
                <w:r w:rsidR="0066404D" w:rsidRPr="003F47EA">
                  <w:rPr>
                    <w:rStyle w:val="Hyperlink"/>
                  </w:rPr>
                  <w:t>Distribution of TEP assessments as per InTASC standards by stage.</w:t>
                </w:r>
                <w:r w:rsidR="0066404D">
                  <w:rPr>
                    <w:webHidden/>
                  </w:rPr>
                  <w:tab/>
                </w:r>
                <w:r w:rsidR="0066404D">
                  <w:rPr>
                    <w:webHidden/>
                  </w:rPr>
                  <w:fldChar w:fldCharType="begin"/>
                </w:r>
                <w:r w:rsidR="0066404D">
                  <w:rPr>
                    <w:webHidden/>
                  </w:rPr>
                  <w:instrText xml:space="preserve"> PAGEREF _Toc493221887 \h </w:instrText>
                </w:r>
                <w:r w:rsidR="0066404D">
                  <w:rPr>
                    <w:webHidden/>
                  </w:rPr>
                </w:r>
                <w:r w:rsidR="0066404D">
                  <w:rPr>
                    <w:webHidden/>
                  </w:rPr>
                  <w:fldChar w:fldCharType="separate"/>
                </w:r>
                <w:r w:rsidR="0066404D">
                  <w:rPr>
                    <w:webHidden/>
                  </w:rPr>
                  <w:t>7</w:t>
                </w:r>
                <w:r w:rsidR="0066404D">
                  <w:rPr>
                    <w:webHidden/>
                  </w:rPr>
                  <w:fldChar w:fldCharType="end"/>
                </w:r>
              </w:hyperlink>
            </w:p>
            <w:p w14:paraId="2F85002E" w14:textId="77777777" w:rsidR="0066404D" w:rsidRDefault="00366323">
              <w:pPr>
                <w:pStyle w:val="TOC3"/>
                <w:rPr>
                  <w:rFonts w:asciiTheme="minorHAnsi" w:eastAsiaTheme="minorEastAsia" w:hAnsiTheme="minorHAnsi" w:cstheme="minorBidi"/>
                  <w:b w:val="0"/>
                  <w:i w:val="0"/>
                  <w:sz w:val="22"/>
                </w:rPr>
              </w:pPr>
              <w:hyperlink w:anchor="_Toc493221888" w:history="1">
                <w:r w:rsidR="0066404D" w:rsidRPr="003F47EA">
                  <w:rPr>
                    <w:rStyle w:val="Hyperlink"/>
                  </w:rPr>
                  <w:t>Overall Distribution of TEP assessments qualifiers per InTASC standard.</w:t>
                </w:r>
                <w:r w:rsidR="0066404D">
                  <w:rPr>
                    <w:webHidden/>
                  </w:rPr>
                  <w:tab/>
                </w:r>
                <w:r w:rsidR="0066404D">
                  <w:rPr>
                    <w:webHidden/>
                  </w:rPr>
                  <w:fldChar w:fldCharType="begin"/>
                </w:r>
                <w:r w:rsidR="0066404D">
                  <w:rPr>
                    <w:webHidden/>
                  </w:rPr>
                  <w:instrText xml:space="preserve"> PAGEREF _Toc493221888 \h </w:instrText>
                </w:r>
                <w:r w:rsidR="0066404D">
                  <w:rPr>
                    <w:webHidden/>
                  </w:rPr>
                </w:r>
                <w:r w:rsidR="0066404D">
                  <w:rPr>
                    <w:webHidden/>
                  </w:rPr>
                  <w:fldChar w:fldCharType="separate"/>
                </w:r>
                <w:r w:rsidR="0066404D">
                  <w:rPr>
                    <w:webHidden/>
                  </w:rPr>
                  <w:t>8</w:t>
                </w:r>
                <w:r w:rsidR="0066404D">
                  <w:rPr>
                    <w:webHidden/>
                  </w:rPr>
                  <w:fldChar w:fldCharType="end"/>
                </w:r>
              </w:hyperlink>
            </w:p>
            <w:p w14:paraId="1C64B2DD" w14:textId="77777777" w:rsidR="0066404D" w:rsidRDefault="00366323">
              <w:pPr>
                <w:pStyle w:val="TOC3"/>
                <w:rPr>
                  <w:rFonts w:asciiTheme="minorHAnsi" w:eastAsiaTheme="minorEastAsia" w:hAnsiTheme="minorHAnsi" w:cstheme="minorBidi"/>
                  <w:b w:val="0"/>
                  <w:i w:val="0"/>
                  <w:sz w:val="22"/>
                </w:rPr>
              </w:pPr>
              <w:hyperlink w:anchor="_Toc493221889" w:history="1">
                <w:r w:rsidR="0066404D" w:rsidRPr="003F47EA">
                  <w:rPr>
                    <w:rStyle w:val="Hyperlink"/>
                  </w:rPr>
                  <w:t>InTASC standards outcomes ranked by exemplary/proficient.</w:t>
                </w:r>
                <w:r w:rsidR="0066404D">
                  <w:rPr>
                    <w:webHidden/>
                  </w:rPr>
                  <w:tab/>
                </w:r>
                <w:r w:rsidR="0066404D">
                  <w:rPr>
                    <w:webHidden/>
                  </w:rPr>
                  <w:fldChar w:fldCharType="begin"/>
                </w:r>
                <w:r w:rsidR="0066404D">
                  <w:rPr>
                    <w:webHidden/>
                  </w:rPr>
                  <w:instrText xml:space="preserve"> PAGEREF _Toc493221889 \h </w:instrText>
                </w:r>
                <w:r w:rsidR="0066404D">
                  <w:rPr>
                    <w:webHidden/>
                  </w:rPr>
                </w:r>
                <w:r w:rsidR="0066404D">
                  <w:rPr>
                    <w:webHidden/>
                  </w:rPr>
                  <w:fldChar w:fldCharType="separate"/>
                </w:r>
                <w:r w:rsidR="0066404D">
                  <w:rPr>
                    <w:webHidden/>
                  </w:rPr>
                  <w:t>8</w:t>
                </w:r>
                <w:r w:rsidR="0066404D">
                  <w:rPr>
                    <w:webHidden/>
                  </w:rPr>
                  <w:fldChar w:fldCharType="end"/>
                </w:r>
              </w:hyperlink>
            </w:p>
            <w:p w14:paraId="5E2E8D11" w14:textId="77777777" w:rsidR="0066404D" w:rsidRDefault="00366323">
              <w:pPr>
                <w:pStyle w:val="TOC3"/>
                <w:rPr>
                  <w:rFonts w:asciiTheme="minorHAnsi" w:eastAsiaTheme="minorEastAsia" w:hAnsiTheme="minorHAnsi" w:cstheme="minorBidi"/>
                  <w:b w:val="0"/>
                  <w:i w:val="0"/>
                  <w:sz w:val="22"/>
                </w:rPr>
              </w:pPr>
              <w:hyperlink w:anchor="_Toc493221890" w:history="1">
                <w:r w:rsidR="0066404D" w:rsidRPr="003F47EA">
                  <w:rPr>
                    <w:rStyle w:val="Hyperlink"/>
                  </w:rPr>
                  <w:t>InTASC standards’ rankings individually and collectively by levels of achievement.</w:t>
                </w:r>
                <w:r w:rsidR="0066404D">
                  <w:rPr>
                    <w:webHidden/>
                  </w:rPr>
                  <w:tab/>
                </w:r>
                <w:r w:rsidR="0066404D">
                  <w:rPr>
                    <w:webHidden/>
                  </w:rPr>
                  <w:fldChar w:fldCharType="begin"/>
                </w:r>
                <w:r w:rsidR="0066404D">
                  <w:rPr>
                    <w:webHidden/>
                  </w:rPr>
                  <w:instrText xml:space="preserve"> PAGEREF _Toc493221890 \h </w:instrText>
                </w:r>
                <w:r w:rsidR="0066404D">
                  <w:rPr>
                    <w:webHidden/>
                  </w:rPr>
                </w:r>
                <w:r w:rsidR="0066404D">
                  <w:rPr>
                    <w:webHidden/>
                  </w:rPr>
                  <w:fldChar w:fldCharType="separate"/>
                </w:r>
                <w:r w:rsidR="0066404D">
                  <w:rPr>
                    <w:webHidden/>
                  </w:rPr>
                  <w:t>9</w:t>
                </w:r>
                <w:r w:rsidR="0066404D">
                  <w:rPr>
                    <w:webHidden/>
                  </w:rPr>
                  <w:fldChar w:fldCharType="end"/>
                </w:r>
              </w:hyperlink>
            </w:p>
            <w:p w14:paraId="3AE6BBA3" w14:textId="77777777" w:rsidR="0066404D" w:rsidRDefault="00366323">
              <w:pPr>
                <w:pStyle w:val="TOC3"/>
                <w:rPr>
                  <w:rFonts w:asciiTheme="minorHAnsi" w:eastAsiaTheme="minorEastAsia" w:hAnsiTheme="minorHAnsi" w:cstheme="minorBidi"/>
                  <w:b w:val="0"/>
                  <w:i w:val="0"/>
                  <w:sz w:val="22"/>
                </w:rPr>
              </w:pPr>
              <w:hyperlink w:anchor="_Toc493221891" w:history="1">
                <w:r w:rsidR="0066404D" w:rsidRPr="003F47EA">
                  <w:rPr>
                    <w:rStyle w:val="Hyperlink"/>
                  </w:rPr>
                  <w:t>Analysis of reflective written analysis (RWA) scores by InTASC standard.</w:t>
                </w:r>
                <w:r w:rsidR="0066404D">
                  <w:rPr>
                    <w:webHidden/>
                  </w:rPr>
                  <w:tab/>
                </w:r>
                <w:r w:rsidR="0066404D">
                  <w:rPr>
                    <w:webHidden/>
                  </w:rPr>
                  <w:fldChar w:fldCharType="begin"/>
                </w:r>
                <w:r w:rsidR="0066404D">
                  <w:rPr>
                    <w:webHidden/>
                  </w:rPr>
                  <w:instrText xml:space="preserve"> PAGEREF _Toc493221891 \h </w:instrText>
                </w:r>
                <w:r w:rsidR="0066404D">
                  <w:rPr>
                    <w:webHidden/>
                  </w:rPr>
                </w:r>
                <w:r w:rsidR="0066404D">
                  <w:rPr>
                    <w:webHidden/>
                  </w:rPr>
                  <w:fldChar w:fldCharType="separate"/>
                </w:r>
                <w:r w:rsidR="0066404D">
                  <w:rPr>
                    <w:webHidden/>
                  </w:rPr>
                  <w:t>13</w:t>
                </w:r>
                <w:r w:rsidR="0066404D">
                  <w:rPr>
                    <w:webHidden/>
                  </w:rPr>
                  <w:fldChar w:fldCharType="end"/>
                </w:r>
              </w:hyperlink>
            </w:p>
            <w:p w14:paraId="40B93CB9"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892" w:history="1">
                <w:r w:rsidR="0066404D" w:rsidRPr="003F47EA">
                  <w:rPr>
                    <w:rStyle w:val="Hyperlink"/>
                    <w:noProof/>
                  </w:rPr>
                  <w:t>MACK scores.</w:t>
                </w:r>
                <w:r w:rsidR="0066404D">
                  <w:rPr>
                    <w:noProof/>
                    <w:webHidden/>
                  </w:rPr>
                  <w:tab/>
                </w:r>
                <w:r w:rsidR="0066404D">
                  <w:rPr>
                    <w:noProof/>
                    <w:webHidden/>
                  </w:rPr>
                  <w:fldChar w:fldCharType="begin"/>
                </w:r>
                <w:r w:rsidR="0066404D">
                  <w:rPr>
                    <w:noProof/>
                    <w:webHidden/>
                  </w:rPr>
                  <w:instrText xml:space="preserve"> PAGEREF _Toc493221892 \h </w:instrText>
                </w:r>
                <w:r w:rsidR="0066404D">
                  <w:rPr>
                    <w:noProof/>
                    <w:webHidden/>
                  </w:rPr>
                </w:r>
                <w:r w:rsidR="0066404D">
                  <w:rPr>
                    <w:noProof/>
                    <w:webHidden/>
                  </w:rPr>
                  <w:fldChar w:fldCharType="separate"/>
                </w:r>
                <w:r w:rsidR="0066404D">
                  <w:rPr>
                    <w:noProof/>
                    <w:webHidden/>
                  </w:rPr>
                  <w:t>15</w:t>
                </w:r>
                <w:r w:rsidR="0066404D">
                  <w:rPr>
                    <w:noProof/>
                    <w:webHidden/>
                  </w:rPr>
                  <w:fldChar w:fldCharType="end"/>
                </w:r>
              </w:hyperlink>
            </w:p>
            <w:p w14:paraId="1D5B5D40" w14:textId="77777777" w:rsidR="0066404D" w:rsidRDefault="00366323">
              <w:pPr>
                <w:pStyle w:val="TOC3"/>
                <w:rPr>
                  <w:rFonts w:asciiTheme="minorHAnsi" w:eastAsiaTheme="minorEastAsia" w:hAnsiTheme="minorHAnsi" w:cstheme="minorBidi"/>
                  <w:b w:val="0"/>
                  <w:i w:val="0"/>
                  <w:sz w:val="22"/>
                </w:rPr>
              </w:pPr>
              <w:hyperlink w:anchor="_Toc493221893" w:history="1">
                <w:r w:rsidR="0066404D" w:rsidRPr="003F47EA">
                  <w:rPr>
                    <w:rStyle w:val="Hyperlink"/>
                  </w:rPr>
                  <w:t>TEP GPA.</w:t>
                </w:r>
                <w:r w:rsidR="0066404D">
                  <w:rPr>
                    <w:webHidden/>
                  </w:rPr>
                  <w:tab/>
                </w:r>
                <w:r w:rsidR="0066404D">
                  <w:rPr>
                    <w:webHidden/>
                  </w:rPr>
                  <w:fldChar w:fldCharType="begin"/>
                </w:r>
                <w:r w:rsidR="0066404D">
                  <w:rPr>
                    <w:webHidden/>
                  </w:rPr>
                  <w:instrText xml:space="preserve"> PAGEREF _Toc493221893 \h </w:instrText>
                </w:r>
                <w:r w:rsidR="0066404D">
                  <w:rPr>
                    <w:webHidden/>
                  </w:rPr>
                </w:r>
                <w:r w:rsidR="0066404D">
                  <w:rPr>
                    <w:webHidden/>
                  </w:rPr>
                  <w:fldChar w:fldCharType="separate"/>
                </w:r>
                <w:r w:rsidR="0066404D">
                  <w:rPr>
                    <w:webHidden/>
                  </w:rPr>
                  <w:t>16</w:t>
                </w:r>
                <w:r w:rsidR="0066404D">
                  <w:rPr>
                    <w:webHidden/>
                  </w:rPr>
                  <w:fldChar w:fldCharType="end"/>
                </w:r>
              </w:hyperlink>
            </w:p>
            <w:p w14:paraId="55152422" w14:textId="77777777" w:rsidR="0066404D" w:rsidRDefault="00366323">
              <w:pPr>
                <w:pStyle w:val="TOC3"/>
                <w:rPr>
                  <w:rFonts w:asciiTheme="minorHAnsi" w:eastAsiaTheme="minorEastAsia" w:hAnsiTheme="minorHAnsi" w:cstheme="minorBidi"/>
                  <w:b w:val="0"/>
                  <w:i w:val="0"/>
                  <w:sz w:val="22"/>
                </w:rPr>
              </w:pPr>
              <w:hyperlink w:anchor="_Toc493221894" w:history="1">
                <w:r w:rsidR="0066404D" w:rsidRPr="003F47EA">
                  <w:rPr>
                    <w:rStyle w:val="Hyperlink"/>
                  </w:rPr>
                  <w:t>MSTA scores.</w:t>
                </w:r>
                <w:r w:rsidR="0066404D">
                  <w:rPr>
                    <w:webHidden/>
                  </w:rPr>
                  <w:tab/>
                </w:r>
                <w:r w:rsidR="0066404D">
                  <w:rPr>
                    <w:webHidden/>
                  </w:rPr>
                  <w:fldChar w:fldCharType="begin"/>
                </w:r>
                <w:r w:rsidR="0066404D">
                  <w:rPr>
                    <w:webHidden/>
                  </w:rPr>
                  <w:instrText xml:space="preserve"> PAGEREF _Toc493221894 \h </w:instrText>
                </w:r>
                <w:r w:rsidR="0066404D">
                  <w:rPr>
                    <w:webHidden/>
                  </w:rPr>
                </w:r>
                <w:r w:rsidR="0066404D">
                  <w:rPr>
                    <w:webHidden/>
                  </w:rPr>
                  <w:fldChar w:fldCharType="separate"/>
                </w:r>
                <w:r w:rsidR="0066404D">
                  <w:rPr>
                    <w:webHidden/>
                  </w:rPr>
                  <w:t>16</w:t>
                </w:r>
                <w:r w:rsidR="0066404D">
                  <w:rPr>
                    <w:webHidden/>
                  </w:rPr>
                  <w:fldChar w:fldCharType="end"/>
                </w:r>
              </w:hyperlink>
            </w:p>
            <w:p w14:paraId="27181BEC" w14:textId="77777777" w:rsidR="0066404D" w:rsidRDefault="00366323">
              <w:pPr>
                <w:pStyle w:val="TOC3"/>
                <w:rPr>
                  <w:rFonts w:asciiTheme="minorHAnsi" w:eastAsiaTheme="minorEastAsia" w:hAnsiTheme="minorHAnsi" w:cstheme="minorBidi"/>
                  <w:b w:val="0"/>
                  <w:i w:val="0"/>
                  <w:sz w:val="22"/>
                </w:rPr>
              </w:pPr>
              <w:hyperlink w:anchor="_Toc493221895" w:history="1">
                <w:r w:rsidR="0066404D" w:rsidRPr="003F47EA">
                  <w:rPr>
                    <w:rStyle w:val="Hyperlink"/>
                  </w:rPr>
                  <w:t>PRAXIS II.</w:t>
                </w:r>
                <w:r w:rsidR="0066404D">
                  <w:rPr>
                    <w:webHidden/>
                  </w:rPr>
                  <w:tab/>
                </w:r>
                <w:r w:rsidR="0066404D">
                  <w:rPr>
                    <w:webHidden/>
                  </w:rPr>
                  <w:fldChar w:fldCharType="begin"/>
                </w:r>
                <w:r w:rsidR="0066404D">
                  <w:rPr>
                    <w:webHidden/>
                  </w:rPr>
                  <w:instrText xml:space="preserve"> PAGEREF _Toc493221895 \h </w:instrText>
                </w:r>
                <w:r w:rsidR="0066404D">
                  <w:rPr>
                    <w:webHidden/>
                  </w:rPr>
                </w:r>
                <w:r w:rsidR="0066404D">
                  <w:rPr>
                    <w:webHidden/>
                  </w:rPr>
                  <w:fldChar w:fldCharType="separate"/>
                </w:r>
                <w:r w:rsidR="0066404D">
                  <w:rPr>
                    <w:webHidden/>
                  </w:rPr>
                  <w:t>18</w:t>
                </w:r>
                <w:r w:rsidR="0066404D">
                  <w:rPr>
                    <w:webHidden/>
                  </w:rPr>
                  <w:fldChar w:fldCharType="end"/>
                </w:r>
              </w:hyperlink>
            </w:p>
            <w:p w14:paraId="62F3F1F7" w14:textId="77777777" w:rsidR="0066404D" w:rsidRDefault="00366323">
              <w:pPr>
                <w:pStyle w:val="TOC1"/>
                <w:rPr>
                  <w:rFonts w:asciiTheme="minorHAnsi" w:eastAsiaTheme="minorEastAsia" w:hAnsiTheme="minorHAnsi" w:cstheme="minorBidi"/>
                  <w:noProof/>
                  <w:sz w:val="22"/>
                </w:rPr>
              </w:pPr>
              <w:hyperlink w:anchor="_Toc493221896" w:history="1">
                <w:r w:rsidR="0066404D" w:rsidRPr="003F47EA">
                  <w:rPr>
                    <w:rStyle w:val="Hyperlink"/>
                    <w:noProof/>
                  </w:rPr>
                  <w:t>Transition to Professional Teaching (TPT)</w:t>
                </w:r>
                <w:r w:rsidR="0066404D">
                  <w:rPr>
                    <w:noProof/>
                    <w:webHidden/>
                  </w:rPr>
                  <w:tab/>
                </w:r>
                <w:r w:rsidR="0066404D">
                  <w:rPr>
                    <w:noProof/>
                    <w:webHidden/>
                  </w:rPr>
                  <w:fldChar w:fldCharType="begin"/>
                </w:r>
                <w:r w:rsidR="0066404D">
                  <w:rPr>
                    <w:noProof/>
                    <w:webHidden/>
                  </w:rPr>
                  <w:instrText xml:space="preserve"> PAGEREF _Toc493221896 \h </w:instrText>
                </w:r>
                <w:r w:rsidR="0066404D">
                  <w:rPr>
                    <w:noProof/>
                    <w:webHidden/>
                  </w:rPr>
                </w:r>
                <w:r w:rsidR="0066404D">
                  <w:rPr>
                    <w:noProof/>
                    <w:webHidden/>
                  </w:rPr>
                  <w:fldChar w:fldCharType="separate"/>
                </w:r>
                <w:r w:rsidR="0066404D">
                  <w:rPr>
                    <w:noProof/>
                    <w:webHidden/>
                  </w:rPr>
                  <w:t>21</w:t>
                </w:r>
                <w:r w:rsidR="0066404D">
                  <w:rPr>
                    <w:noProof/>
                    <w:webHidden/>
                  </w:rPr>
                  <w:fldChar w:fldCharType="end"/>
                </w:r>
              </w:hyperlink>
            </w:p>
            <w:p w14:paraId="43968AA4" w14:textId="77777777" w:rsidR="0066404D" w:rsidRDefault="00366323">
              <w:pPr>
                <w:pStyle w:val="TOC1"/>
                <w:rPr>
                  <w:rFonts w:asciiTheme="minorHAnsi" w:eastAsiaTheme="minorEastAsia" w:hAnsiTheme="minorHAnsi" w:cstheme="minorBidi"/>
                  <w:noProof/>
                  <w:sz w:val="22"/>
                </w:rPr>
              </w:pPr>
              <w:hyperlink w:anchor="_Toc493221897" w:history="1">
                <w:r w:rsidR="0066404D" w:rsidRPr="003F47EA">
                  <w:rPr>
                    <w:rStyle w:val="Hyperlink"/>
                    <w:noProof/>
                  </w:rPr>
                  <w:t>Student Teacher Evaluation</w:t>
                </w:r>
                <w:r w:rsidR="0066404D">
                  <w:rPr>
                    <w:noProof/>
                    <w:webHidden/>
                  </w:rPr>
                  <w:tab/>
                </w:r>
                <w:r w:rsidR="0066404D">
                  <w:rPr>
                    <w:noProof/>
                    <w:webHidden/>
                  </w:rPr>
                  <w:fldChar w:fldCharType="begin"/>
                </w:r>
                <w:r w:rsidR="0066404D">
                  <w:rPr>
                    <w:noProof/>
                    <w:webHidden/>
                  </w:rPr>
                  <w:instrText xml:space="preserve"> PAGEREF _Toc493221897 \h </w:instrText>
                </w:r>
                <w:r w:rsidR="0066404D">
                  <w:rPr>
                    <w:noProof/>
                    <w:webHidden/>
                  </w:rPr>
                </w:r>
                <w:r w:rsidR="0066404D">
                  <w:rPr>
                    <w:noProof/>
                    <w:webHidden/>
                  </w:rPr>
                  <w:fldChar w:fldCharType="separate"/>
                </w:r>
                <w:r w:rsidR="0066404D">
                  <w:rPr>
                    <w:noProof/>
                    <w:webHidden/>
                  </w:rPr>
                  <w:t>25</w:t>
                </w:r>
                <w:r w:rsidR="0066404D">
                  <w:rPr>
                    <w:noProof/>
                    <w:webHidden/>
                  </w:rPr>
                  <w:fldChar w:fldCharType="end"/>
                </w:r>
              </w:hyperlink>
            </w:p>
            <w:p w14:paraId="01517D5D" w14:textId="77777777" w:rsidR="0066404D" w:rsidRDefault="00366323">
              <w:pPr>
                <w:pStyle w:val="TOC1"/>
                <w:rPr>
                  <w:rFonts w:asciiTheme="minorHAnsi" w:eastAsiaTheme="minorEastAsia" w:hAnsiTheme="minorHAnsi" w:cstheme="minorBidi"/>
                  <w:noProof/>
                  <w:sz w:val="22"/>
                </w:rPr>
              </w:pPr>
              <w:hyperlink w:anchor="_Toc493221898" w:history="1">
                <w:r w:rsidR="0066404D" w:rsidRPr="003F47EA">
                  <w:rPr>
                    <w:rStyle w:val="Hyperlink"/>
                    <w:noProof/>
                  </w:rPr>
                  <w:t>Surveys</w:t>
                </w:r>
                <w:r w:rsidR="0066404D">
                  <w:rPr>
                    <w:noProof/>
                    <w:webHidden/>
                  </w:rPr>
                  <w:tab/>
                </w:r>
                <w:r w:rsidR="0066404D">
                  <w:rPr>
                    <w:noProof/>
                    <w:webHidden/>
                  </w:rPr>
                  <w:fldChar w:fldCharType="begin"/>
                </w:r>
                <w:r w:rsidR="0066404D">
                  <w:rPr>
                    <w:noProof/>
                    <w:webHidden/>
                  </w:rPr>
                  <w:instrText xml:space="preserve"> PAGEREF _Toc493221898 \h </w:instrText>
                </w:r>
                <w:r w:rsidR="0066404D">
                  <w:rPr>
                    <w:noProof/>
                    <w:webHidden/>
                  </w:rPr>
                </w:r>
                <w:r w:rsidR="0066404D">
                  <w:rPr>
                    <w:noProof/>
                    <w:webHidden/>
                  </w:rPr>
                  <w:fldChar w:fldCharType="separate"/>
                </w:r>
                <w:r w:rsidR="0066404D">
                  <w:rPr>
                    <w:noProof/>
                    <w:webHidden/>
                  </w:rPr>
                  <w:t>31</w:t>
                </w:r>
                <w:r w:rsidR="0066404D">
                  <w:rPr>
                    <w:noProof/>
                    <w:webHidden/>
                  </w:rPr>
                  <w:fldChar w:fldCharType="end"/>
                </w:r>
              </w:hyperlink>
            </w:p>
            <w:p w14:paraId="2E430CB6"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899" w:history="1">
                <w:r w:rsidR="0066404D" w:rsidRPr="003F47EA">
                  <w:rPr>
                    <w:rStyle w:val="Hyperlink"/>
                    <w:noProof/>
                  </w:rPr>
                  <w:t>SKC teacher education program exit survey</w:t>
                </w:r>
                <w:r w:rsidR="0066404D">
                  <w:rPr>
                    <w:noProof/>
                    <w:webHidden/>
                  </w:rPr>
                  <w:tab/>
                </w:r>
                <w:r w:rsidR="0066404D">
                  <w:rPr>
                    <w:noProof/>
                    <w:webHidden/>
                  </w:rPr>
                  <w:fldChar w:fldCharType="begin"/>
                </w:r>
                <w:r w:rsidR="0066404D">
                  <w:rPr>
                    <w:noProof/>
                    <w:webHidden/>
                  </w:rPr>
                  <w:instrText xml:space="preserve"> PAGEREF _Toc493221899 \h </w:instrText>
                </w:r>
                <w:r w:rsidR="0066404D">
                  <w:rPr>
                    <w:noProof/>
                    <w:webHidden/>
                  </w:rPr>
                </w:r>
                <w:r w:rsidR="0066404D">
                  <w:rPr>
                    <w:noProof/>
                    <w:webHidden/>
                  </w:rPr>
                  <w:fldChar w:fldCharType="separate"/>
                </w:r>
                <w:r w:rsidR="0066404D">
                  <w:rPr>
                    <w:noProof/>
                    <w:webHidden/>
                  </w:rPr>
                  <w:t>31</w:t>
                </w:r>
                <w:r w:rsidR="0066404D">
                  <w:rPr>
                    <w:noProof/>
                    <w:webHidden/>
                  </w:rPr>
                  <w:fldChar w:fldCharType="end"/>
                </w:r>
              </w:hyperlink>
            </w:p>
            <w:p w14:paraId="5D4B773C"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900" w:history="1">
                <w:r w:rsidR="0066404D" w:rsidRPr="003F47EA">
                  <w:rPr>
                    <w:rStyle w:val="Hyperlink"/>
                    <w:noProof/>
                  </w:rPr>
                  <w:t>Montana education preparation provider completers’ satisfaction survey</w:t>
                </w:r>
                <w:r w:rsidR="0066404D">
                  <w:rPr>
                    <w:noProof/>
                    <w:webHidden/>
                  </w:rPr>
                  <w:tab/>
                </w:r>
                <w:r w:rsidR="0066404D">
                  <w:rPr>
                    <w:noProof/>
                    <w:webHidden/>
                  </w:rPr>
                  <w:fldChar w:fldCharType="begin"/>
                </w:r>
                <w:r w:rsidR="0066404D">
                  <w:rPr>
                    <w:noProof/>
                    <w:webHidden/>
                  </w:rPr>
                  <w:instrText xml:space="preserve"> PAGEREF _Toc493221900 \h </w:instrText>
                </w:r>
                <w:r w:rsidR="0066404D">
                  <w:rPr>
                    <w:noProof/>
                    <w:webHidden/>
                  </w:rPr>
                </w:r>
                <w:r w:rsidR="0066404D">
                  <w:rPr>
                    <w:noProof/>
                    <w:webHidden/>
                  </w:rPr>
                  <w:fldChar w:fldCharType="separate"/>
                </w:r>
                <w:r w:rsidR="0066404D">
                  <w:rPr>
                    <w:noProof/>
                    <w:webHidden/>
                  </w:rPr>
                  <w:t>33</w:t>
                </w:r>
                <w:r w:rsidR="0066404D">
                  <w:rPr>
                    <w:noProof/>
                    <w:webHidden/>
                  </w:rPr>
                  <w:fldChar w:fldCharType="end"/>
                </w:r>
              </w:hyperlink>
            </w:p>
            <w:p w14:paraId="332A2B53"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901" w:history="1">
                <w:r w:rsidR="0066404D" w:rsidRPr="003F47EA">
                  <w:rPr>
                    <w:rStyle w:val="Hyperlink"/>
                    <w:noProof/>
                  </w:rPr>
                  <w:t>SKC TEP student teacher evaluation of college supervisor.</w:t>
                </w:r>
                <w:r w:rsidR="0066404D">
                  <w:rPr>
                    <w:noProof/>
                    <w:webHidden/>
                  </w:rPr>
                  <w:tab/>
                </w:r>
                <w:r w:rsidR="0066404D">
                  <w:rPr>
                    <w:noProof/>
                    <w:webHidden/>
                  </w:rPr>
                  <w:fldChar w:fldCharType="begin"/>
                </w:r>
                <w:r w:rsidR="0066404D">
                  <w:rPr>
                    <w:noProof/>
                    <w:webHidden/>
                  </w:rPr>
                  <w:instrText xml:space="preserve"> PAGEREF _Toc493221901 \h </w:instrText>
                </w:r>
                <w:r w:rsidR="0066404D">
                  <w:rPr>
                    <w:noProof/>
                    <w:webHidden/>
                  </w:rPr>
                </w:r>
                <w:r w:rsidR="0066404D">
                  <w:rPr>
                    <w:noProof/>
                    <w:webHidden/>
                  </w:rPr>
                  <w:fldChar w:fldCharType="separate"/>
                </w:r>
                <w:r w:rsidR="0066404D">
                  <w:rPr>
                    <w:noProof/>
                    <w:webHidden/>
                  </w:rPr>
                  <w:t>35</w:t>
                </w:r>
                <w:r w:rsidR="0066404D">
                  <w:rPr>
                    <w:noProof/>
                    <w:webHidden/>
                  </w:rPr>
                  <w:fldChar w:fldCharType="end"/>
                </w:r>
              </w:hyperlink>
            </w:p>
            <w:p w14:paraId="73CCEE4F"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902" w:history="1">
                <w:r w:rsidR="0066404D" w:rsidRPr="003F47EA">
                  <w:rPr>
                    <w:rStyle w:val="Hyperlink"/>
                    <w:noProof/>
                  </w:rPr>
                  <w:t>Evaluation of cooperating teachers’ ability to mentor a student teacher.</w:t>
                </w:r>
                <w:r w:rsidR="0066404D">
                  <w:rPr>
                    <w:noProof/>
                    <w:webHidden/>
                  </w:rPr>
                  <w:tab/>
                </w:r>
                <w:r w:rsidR="0066404D">
                  <w:rPr>
                    <w:noProof/>
                    <w:webHidden/>
                  </w:rPr>
                  <w:fldChar w:fldCharType="begin"/>
                </w:r>
                <w:r w:rsidR="0066404D">
                  <w:rPr>
                    <w:noProof/>
                    <w:webHidden/>
                  </w:rPr>
                  <w:instrText xml:space="preserve"> PAGEREF _Toc493221902 \h </w:instrText>
                </w:r>
                <w:r w:rsidR="0066404D">
                  <w:rPr>
                    <w:noProof/>
                    <w:webHidden/>
                  </w:rPr>
                </w:r>
                <w:r w:rsidR="0066404D">
                  <w:rPr>
                    <w:noProof/>
                    <w:webHidden/>
                  </w:rPr>
                  <w:fldChar w:fldCharType="separate"/>
                </w:r>
                <w:r w:rsidR="0066404D">
                  <w:rPr>
                    <w:noProof/>
                    <w:webHidden/>
                  </w:rPr>
                  <w:t>38</w:t>
                </w:r>
                <w:r w:rsidR="0066404D">
                  <w:rPr>
                    <w:noProof/>
                    <w:webHidden/>
                  </w:rPr>
                  <w:fldChar w:fldCharType="end"/>
                </w:r>
              </w:hyperlink>
            </w:p>
            <w:p w14:paraId="17DF40C4" w14:textId="77777777" w:rsidR="0066404D" w:rsidRDefault="00366323">
              <w:pPr>
                <w:pStyle w:val="TOC2"/>
                <w:tabs>
                  <w:tab w:val="right" w:leader="dot" w:pos="10070"/>
                </w:tabs>
                <w:rPr>
                  <w:rFonts w:asciiTheme="minorHAnsi" w:eastAsiaTheme="minorEastAsia" w:hAnsiTheme="minorHAnsi" w:cstheme="minorBidi"/>
                  <w:noProof/>
                  <w:sz w:val="22"/>
                </w:rPr>
              </w:pPr>
              <w:hyperlink w:anchor="_Toc493221903" w:history="1">
                <w:r w:rsidR="0066404D" w:rsidRPr="003F47EA">
                  <w:rPr>
                    <w:rStyle w:val="Hyperlink"/>
                    <w:noProof/>
                  </w:rPr>
                  <w:t>Employers’ survey of completers’ employment</w:t>
                </w:r>
                <w:r w:rsidR="0066404D">
                  <w:rPr>
                    <w:noProof/>
                    <w:webHidden/>
                  </w:rPr>
                  <w:tab/>
                </w:r>
                <w:r w:rsidR="0066404D">
                  <w:rPr>
                    <w:noProof/>
                    <w:webHidden/>
                  </w:rPr>
                  <w:fldChar w:fldCharType="begin"/>
                </w:r>
                <w:r w:rsidR="0066404D">
                  <w:rPr>
                    <w:noProof/>
                    <w:webHidden/>
                  </w:rPr>
                  <w:instrText xml:space="preserve"> PAGEREF _Toc493221903 \h </w:instrText>
                </w:r>
                <w:r w:rsidR="0066404D">
                  <w:rPr>
                    <w:noProof/>
                    <w:webHidden/>
                  </w:rPr>
                </w:r>
                <w:r w:rsidR="0066404D">
                  <w:rPr>
                    <w:noProof/>
                    <w:webHidden/>
                  </w:rPr>
                  <w:fldChar w:fldCharType="separate"/>
                </w:r>
                <w:r w:rsidR="0066404D">
                  <w:rPr>
                    <w:noProof/>
                    <w:webHidden/>
                  </w:rPr>
                  <w:t>39</w:t>
                </w:r>
                <w:r w:rsidR="0066404D">
                  <w:rPr>
                    <w:noProof/>
                    <w:webHidden/>
                  </w:rPr>
                  <w:fldChar w:fldCharType="end"/>
                </w:r>
              </w:hyperlink>
            </w:p>
            <w:p w14:paraId="6AC4609D" w14:textId="77777777" w:rsidR="0066404D" w:rsidRDefault="00366323">
              <w:pPr>
                <w:pStyle w:val="TOC1"/>
                <w:rPr>
                  <w:rFonts w:asciiTheme="minorHAnsi" w:eastAsiaTheme="minorEastAsia" w:hAnsiTheme="minorHAnsi" w:cstheme="minorBidi"/>
                  <w:noProof/>
                  <w:sz w:val="22"/>
                </w:rPr>
              </w:pPr>
              <w:hyperlink w:anchor="_Toc493221904" w:history="1">
                <w:r w:rsidR="0066404D" w:rsidRPr="003F47EA">
                  <w:rPr>
                    <w:rStyle w:val="Hyperlink"/>
                    <w:noProof/>
                  </w:rPr>
                  <w:t>Native American History and Culture</w:t>
                </w:r>
                <w:r w:rsidR="0066404D">
                  <w:rPr>
                    <w:noProof/>
                    <w:webHidden/>
                  </w:rPr>
                  <w:tab/>
                </w:r>
                <w:r w:rsidR="0066404D">
                  <w:rPr>
                    <w:noProof/>
                    <w:webHidden/>
                  </w:rPr>
                  <w:fldChar w:fldCharType="begin"/>
                </w:r>
                <w:r w:rsidR="0066404D">
                  <w:rPr>
                    <w:noProof/>
                    <w:webHidden/>
                  </w:rPr>
                  <w:instrText xml:space="preserve"> PAGEREF _Toc493221904 \h </w:instrText>
                </w:r>
                <w:r w:rsidR="0066404D">
                  <w:rPr>
                    <w:noProof/>
                    <w:webHidden/>
                  </w:rPr>
                </w:r>
                <w:r w:rsidR="0066404D">
                  <w:rPr>
                    <w:noProof/>
                    <w:webHidden/>
                  </w:rPr>
                  <w:fldChar w:fldCharType="separate"/>
                </w:r>
                <w:r w:rsidR="0066404D">
                  <w:rPr>
                    <w:noProof/>
                    <w:webHidden/>
                  </w:rPr>
                  <w:t>40</w:t>
                </w:r>
                <w:r w:rsidR="0066404D">
                  <w:rPr>
                    <w:noProof/>
                    <w:webHidden/>
                  </w:rPr>
                  <w:fldChar w:fldCharType="end"/>
                </w:r>
              </w:hyperlink>
            </w:p>
            <w:p w14:paraId="0ABB56D5" w14:textId="77777777" w:rsidR="0066404D" w:rsidRDefault="00366323">
              <w:pPr>
                <w:pStyle w:val="TOC1"/>
                <w:rPr>
                  <w:rFonts w:asciiTheme="minorHAnsi" w:eastAsiaTheme="minorEastAsia" w:hAnsiTheme="minorHAnsi" w:cstheme="minorBidi"/>
                  <w:noProof/>
                  <w:sz w:val="22"/>
                </w:rPr>
              </w:pPr>
              <w:hyperlink w:anchor="_Toc493221905" w:history="1">
                <w:r w:rsidR="0066404D" w:rsidRPr="003F47EA">
                  <w:rPr>
                    <w:rStyle w:val="Hyperlink"/>
                    <w:noProof/>
                  </w:rPr>
                  <w:t>Summary</w:t>
                </w:r>
                <w:r w:rsidR="0066404D">
                  <w:rPr>
                    <w:noProof/>
                    <w:webHidden/>
                  </w:rPr>
                  <w:tab/>
                </w:r>
                <w:r w:rsidR="0066404D">
                  <w:rPr>
                    <w:noProof/>
                    <w:webHidden/>
                  </w:rPr>
                  <w:fldChar w:fldCharType="begin"/>
                </w:r>
                <w:r w:rsidR="0066404D">
                  <w:rPr>
                    <w:noProof/>
                    <w:webHidden/>
                  </w:rPr>
                  <w:instrText xml:space="preserve"> PAGEREF _Toc493221905 \h </w:instrText>
                </w:r>
                <w:r w:rsidR="0066404D">
                  <w:rPr>
                    <w:noProof/>
                    <w:webHidden/>
                  </w:rPr>
                </w:r>
                <w:r w:rsidR="0066404D">
                  <w:rPr>
                    <w:noProof/>
                    <w:webHidden/>
                  </w:rPr>
                  <w:fldChar w:fldCharType="separate"/>
                </w:r>
                <w:r w:rsidR="0066404D">
                  <w:rPr>
                    <w:noProof/>
                    <w:webHidden/>
                  </w:rPr>
                  <w:t>41</w:t>
                </w:r>
                <w:r w:rsidR="0066404D">
                  <w:rPr>
                    <w:noProof/>
                    <w:webHidden/>
                  </w:rPr>
                  <w:fldChar w:fldCharType="end"/>
                </w:r>
              </w:hyperlink>
            </w:p>
            <w:p w14:paraId="4FFEDD27" w14:textId="77777777" w:rsidR="0066404D" w:rsidRDefault="00366323">
              <w:pPr>
                <w:pStyle w:val="TOC1"/>
                <w:rPr>
                  <w:rFonts w:asciiTheme="minorHAnsi" w:eastAsiaTheme="minorEastAsia" w:hAnsiTheme="minorHAnsi" w:cstheme="minorBidi"/>
                  <w:noProof/>
                  <w:sz w:val="22"/>
                </w:rPr>
              </w:pPr>
              <w:hyperlink w:anchor="_Toc493221906" w:history="1">
                <w:r w:rsidR="0066404D" w:rsidRPr="003F47EA">
                  <w:rPr>
                    <w:rStyle w:val="Hyperlink"/>
                    <w:noProof/>
                  </w:rPr>
                  <w:t>Recommendations</w:t>
                </w:r>
                <w:r w:rsidR="0066404D">
                  <w:rPr>
                    <w:noProof/>
                    <w:webHidden/>
                  </w:rPr>
                  <w:tab/>
                </w:r>
                <w:r w:rsidR="0066404D">
                  <w:rPr>
                    <w:noProof/>
                    <w:webHidden/>
                  </w:rPr>
                  <w:fldChar w:fldCharType="begin"/>
                </w:r>
                <w:r w:rsidR="0066404D">
                  <w:rPr>
                    <w:noProof/>
                    <w:webHidden/>
                  </w:rPr>
                  <w:instrText xml:space="preserve"> PAGEREF _Toc493221906 \h </w:instrText>
                </w:r>
                <w:r w:rsidR="0066404D">
                  <w:rPr>
                    <w:noProof/>
                    <w:webHidden/>
                  </w:rPr>
                </w:r>
                <w:r w:rsidR="0066404D">
                  <w:rPr>
                    <w:noProof/>
                    <w:webHidden/>
                  </w:rPr>
                  <w:fldChar w:fldCharType="separate"/>
                </w:r>
                <w:r w:rsidR="0066404D">
                  <w:rPr>
                    <w:noProof/>
                    <w:webHidden/>
                  </w:rPr>
                  <w:t>44</w:t>
                </w:r>
                <w:r w:rsidR="0066404D">
                  <w:rPr>
                    <w:noProof/>
                    <w:webHidden/>
                  </w:rPr>
                  <w:fldChar w:fldCharType="end"/>
                </w:r>
              </w:hyperlink>
            </w:p>
            <w:p w14:paraId="7F770EB6" w14:textId="77777777" w:rsidR="00ED0C4D" w:rsidRDefault="00ED0C4D" w:rsidP="00330BD2">
              <w:pPr>
                <w:tabs>
                  <w:tab w:val="left" w:leader="dot" w:pos="9792"/>
                </w:tabs>
              </w:pPr>
              <w:r w:rsidRPr="006B0A16">
                <w:rPr>
                  <w:b/>
                  <w:bCs/>
                  <w:noProof/>
                </w:rPr>
                <w:fldChar w:fldCharType="end"/>
              </w:r>
            </w:p>
          </w:sdtContent>
        </w:sdt>
        <w:p w14:paraId="157C4B63" w14:textId="77777777" w:rsidR="009368F8" w:rsidRDefault="009368F8" w:rsidP="00330BD2">
          <w:pPr>
            <w:tabs>
              <w:tab w:val="left" w:leader="dot" w:pos="9792"/>
            </w:tabs>
            <w:jc w:val="center"/>
            <w:rPr>
              <w:b/>
              <w:sz w:val="26"/>
              <w:szCs w:val="26"/>
            </w:rPr>
          </w:pPr>
          <w:r w:rsidRPr="001F2325">
            <w:rPr>
              <w:b/>
              <w:sz w:val="26"/>
              <w:szCs w:val="26"/>
            </w:rPr>
            <w:t>List of Tables</w:t>
          </w:r>
        </w:p>
        <w:p w14:paraId="5C64E4C3" w14:textId="77777777" w:rsidR="00863003" w:rsidRPr="001B4021" w:rsidRDefault="00321D70">
          <w:pPr>
            <w:pStyle w:val="TableofFigures"/>
            <w:tabs>
              <w:tab w:val="right" w:leader="dot" w:pos="10070"/>
            </w:tabs>
            <w:rPr>
              <w:rFonts w:asciiTheme="minorHAnsi" w:eastAsiaTheme="minorEastAsia" w:hAnsiTheme="minorHAnsi" w:cstheme="minorBidi"/>
              <w:b/>
              <w:noProof/>
            </w:rPr>
          </w:pPr>
          <w:r w:rsidRPr="001B4021">
            <w:rPr>
              <w:b/>
            </w:rPr>
            <w:fldChar w:fldCharType="begin"/>
          </w:r>
          <w:r w:rsidRPr="001B4021">
            <w:rPr>
              <w:b/>
            </w:rPr>
            <w:instrText xml:space="preserve"> TOC \c "Table" </w:instrText>
          </w:r>
          <w:r w:rsidRPr="001B4021">
            <w:rPr>
              <w:b/>
            </w:rPr>
            <w:fldChar w:fldCharType="separate"/>
          </w:r>
          <w:r w:rsidR="00863003" w:rsidRPr="001B4021">
            <w:rPr>
              <w:b/>
              <w:noProof/>
            </w:rPr>
            <w:t xml:space="preserve">Table 1 </w:t>
          </w:r>
          <w:r w:rsidR="00863003" w:rsidRPr="001B4021">
            <w:rPr>
              <w:rFonts w:eastAsia="Times New Roman"/>
              <w:b/>
              <w:bCs/>
              <w:noProof/>
              <w:color w:val="000000"/>
            </w:rPr>
            <w:t xml:space="preserve">:  </w:t>
          </w:r>
          <w:r w:rsidR="005B6B05">
            <w:rPr>
              <w:rFonts w:eastAsia="Times New Roman"/>
              <w:b/>
              <w:bCs/>
              <w:noProof/>
              <w:color w:val="000000"/>
            </w:rPr>
            <w:t xml:space="preserve"> </w:t>
          </w:r>
          <w:r w:rsidR="00863003" w:rsidRPr="001B4021">
            <w:rPr>
              <w:rFonts w:eastAsia="Times New Roman"/>
              <w:b/>
              <w:bCs/>
              <w:noProof/>
              <w:color w:val="000000"/>
            </w:rPr>
            <w:t xml:space="preserve"> InTASC Standards by Number of Assessments and Stage</w:t>
          </w:r>
          <w:r w:rsidR="00863003" w:rsidRPr="001B4021">
            <w:rPr>
              <w:b/>
              <w:noProof/>
            </w:rPr>
            <w:tab/>
          </w:r>
          <w:r w:rsidR="00863003" w:rsidRPr="001B4021">
            <w:rPr>
              <w:b/>
              <w:noProof/>
            </w:rPr>
            <w:fldChar w:fldCharType="begin"/>
          </w:r>
          <w:r w:rsidR="00863003" w:rsidRPr="001B4021">
            <w:rPr>
              <w:b/>
              <w:noProof/>
            </w:rPr>
            <w:instrText xml:space="preserve"> PAGEREF _Toc492828023 \h </w:instrText>
          </w:r>
          <w:r w:rsidR="00863003" w:rsidRPr="001B4021">
            <w:rPr>
              <w:b/>
              <w:noProof/>
            </w:rPr>
          </w:r>
          <w:r w:rsidR="00863003" w:rsidRPr="001B4021">
            <w:rPr>
              <w:b/>
              <w:noProof/>
            </w:rPr>
            <w:fldChar w:fldCharType="separate"/>
          </w:r>
          <w:r w:rsidR="0010294F" w:rsidRPr="001B4021">
            <w:rPr>
              <w:b/>
              <w:noProof/>
            </w:rPr>
            <w:t>7</w:t>
          </w:r>
          <w:r w:rsidR="00863003" w:rsidRPr="001B4021">
            <w:rPr>
              <w:b/>
              <w:noProof/>
            </w:rPr>
            <w:fldChar w:fldCharType="end"/>
          </w:r>
        </w:p>
        <w:p w14:paraId="25A8F7D7"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rPr>
            <w:t>Table 2</w:t>
          </w:r>
          <w:r w:rsidRPr="001B4021">
            <w:rPr>
              <w:rFonts w:eastAsia="Times New Roman"/>
              <w:b/>
              <w:bCs/>
              <w:noProof/>
              <w:color w:val="000000"/>
            </w:rPr>
            <w:t xml:space="preserve">:  </w:t>
          </w:r>
          <w:r w:rsidR="005B6B05">
            <w:rPr>
              <w:rFonts w:eastAsia="Times New Roman"/>
              <w:b/>
              <w:bCs/>
              <w:noProof/>
              <w:color w:val="000000"/>
            </w:rPr>
            <w:t xml:space="preserve"> </w:t>
          </w:r>
          <w:r w:rsidRPr="001B4021">
            <w:rPr>
              <w:rFonts w:eastAsia="Times New Roman"/>
              <w:b/>
              <w:bCs/>
              <w:noProof/>
              <w:color w:val="000000"/>
            </w:rPr>
            <w:t xml:space="preserve"> InTASC Standards by Frequency</w:t>
          </w:r>
          <w:r w:rsidRPr="001B4021">
            <w:rPr>
              <w:b/>
              <w:noProof/>
            </w:rPr>
            <w:tab/>
          </w:r>
          <w:r w:rsidRPr="001B4021">
            <w:rPr>
              <w:b/>
              <w:noProof/>
            </w:rPr>
            <w:fldChar w:fldCharType="begin"/>
          </w:r>
          <w:r w:rsidRPr="001B4021">
            <w:rPr>
              <w:b/>
              <w:noProof/>
            </w:rPr>
            <w:instrText xml:space="preserve"> PAGEREF _Toc492828024 \h </w:instrText>
          </w:r>
          <w:r w:rsidRPr="001B4021">
            <w:rPr>
              <w:b/>
              <w:noProof/>
            </w:rPr>
          </w:r>
          <w:r w:rsidRPr="001B4021">
            <w:rPr>
              <w:b/>
              <w:noProof/>
            </w:rPr>
            <w:fldChar w:fldCharType="separate"/>
          </w:r>
          <w:r w:rsidR="0010294F" w:rsidRPr="001B4021">
            <w:rPr>
              <w:b/>
              <w:noProof/>
            </w:rPr>
            <w:t>8</w:t>
          </w:r>
          <w:r w:rsidRPr="001B4021">
            <w:rPr>
              <w:b/>
              <w:noProof/>
            </w:rPr>
            <w:fldChar w:fldCharType="end"/>
          </w:r>
        </w:p>
        <w:p w14:paraId="5E38B544"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color w:val="000000" w:themeColor="text1"/>
            </w:rPr>
            <w:t>Table 3</w:t>
          </w:r>
          <w:r w:rsidRPr="001B4021">
            <w:rPr>
              <w:rFonts w:eastAsia="Times New Roman"/>
              <w:b/>
              <w:noProof/>
              <w:color w:val="000000"/>
            </w:rPr>
            <w:t>: InTASC Standards Ranked by Exemplary/Proficient Percentages</w:t>
          </w:r>
          <w:r w:rsidRPr="001B4021">
            <w:rPr>
              <w:b/>
              <w:noProof/>
            </w:rPr>
            <w:tab/>
          </w:r>
          <w:r w:rsidRPr="001B4021">
            <w:rPr>
              <w:b/>
              <w:noProof/>
            </w:rPr>
            <w:fldChar w:fldCharType="begin"/>
          </w:r>
          <w:r w:rsidRPr="001B4021">
            <w:rPr>
              <w:b/>
              <w:noProof/>
            </w:rPr>
            <w:instrText xml:space="preserve"> PAGEREF _Toc492828025 \h </w:instrText>
          </w:r>
          <w:r w:rsidRPr="001B4021">
            <w:rPr>
              <w:b/>
              <w:noProof/>
            </w:rPr>
          </w:r>
          <w:r w:rsidRPr="001B4021">
            <w:rPr>
              <w:b/>
              <w:noProof/>
            </w:rPr>
            <w:fldChar w:fldCharType="separate"/>
          </w:r>
          <w:r w:rsidR="0010294F" w:rsidRPr="001B4021">
            <w:rPr>
              <w:b/>
              <w:noProof/>
            </w:rPr>
            <w:t>9</w:t>
          </w:r>
          <w:r w:rsidRPr="001B4021">
            <w:rPr>
              <w:b/>
              <w:noProof/>
            </w:rPr>
            <w:fldChar w:fldCharType="end"/>
          </w:r>
        </w:p>
        <w:p w14:paraId="408EDA74"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rPr>
            <w:t>Table 4</w:t>
          </w:r>
          <w:r w:rsidRPr="001B4021">
            <w:rPr>
              <w:rFonts w:eastAsia="Times New Roman"/>
              <w:b/>
              <w:bCs/>
              <w:noProof/>
              <w:color w:val="000000"/>
            </w:rPr>
            <w:t xml:space="preserve">:  </w:t>
          </w:r>
          <w:r w:rsidR="005B6B05">
            <w:rPr>
              <w:rFonts w:eastAsia="Times New Roman"/>
              <w:b/>
              <w:bCs/>
              <w:noProof/>
              <w:color w:val="000000"/>
            </w:rPr>
            <w:t xml:space="preserve"> </w:t>
          </w:r>
          <w:r w:rsidRPr="001B4021">
            <w:rPr>
              <w:rFonts w:eastAsia="Times New Roman"/>
              <w:b/>
              <w:bCs/>
              <w:noProof/>
              <w:color w:val="000000"/>
            </w:rPr>
            <w:t xml:space="preserve"> Rank of InTASC Standards by </w:t>
          </w:r>
          <w:r w:rsidRPr="001B4021">
            <w:rPr>
              <w:rFonts w:eastAsia="Times New Roman"/>
              <w:b/>
              <w:bCs/>
              <w:i/>
              <w:noProof/>
              <w:color w:val="000000"/>
            </w:rPr>
            <w:t>Exemplary</w:t>
          </w:r>
          <w:r w:rsidRPr="001B4021">
            <w:rPr>
              <w:rFonts w:eastAsia="Times New Roman"/>
              <w:b/>
              <w:bCs/>
              <w:noProof/>
              <w:color w:val="000000"/>
            </w:rPr>
            <w:t xml:space="preserve"> Frequency</w:t>
          </w:r>
          <w:r w:rsidRPr="001B4021">
            <w:rPr>
              <w:b/>
              <w:noProof/>
            </w:rPr>
            <w:tab/>
          </w:r>
          <w:r w:rsidRPr="001B4021">
            <w:rPr>
              <w:b/>
              <w:noProof/>
            </w:rPr>
            <w:fldChar w:fldCharType="begin"/>
          </w:r>
          <w:r w:rsidRPr="001B4021">
            <w:rPr>
              <w:b/>
              <w:noProof/>
            </w:rPr>
            <w:instrText xml:space="preserve"> PAGEREF _Toc492828026 \h </w:instrText>
          </w:r>
          <w:r w:rsidRPr="001B4021">
            <w:rPr>
              <w:b/>
              <w:noProof/>
            </w:rPr>
          </w:r>
          <w:r w:rsidRPr="001B4021">
            <w:rPr>
              <w:b/>
              <w:noProof/>
            </w:rPr>
            <w:fldChar w:fldCharType="separate"/>
          </w:r>
          <w:r w:rsidR="0010294F" w:rsidRPr="001B4021">
            <w:rPr>
              <w:b/>
              <w:noProof/>
            </w:rPr>
            <w:t>10</w:t>
          </w:r>
          <w:r w:rsidRPr="001B4021">
            <w:rPr>
              <w:b/>
              <w:noProof/>
            </w:rPr>
            <w:fldChar w:fldCharType="end"/>
          </w:r>
        </w:p>
        <w:p w14:paraId="435F6B6F"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color w:val="000000" w:themeColor="text1"/>
            </w:rPr>
            <w:t>Table 5</w:t>
          </w:r>
          <w:r w:rsidRPr="001B4021">
            <w:rPr>
              <w:rFonts w:eastAsia="Times New Roman"/>
              <w:b/>
              <w:noProof/>
              <w:color w:val="000000" w:themeColor="text1"/>
            </w:rPr>
            <w:t xml:space="preserve">:  </w:t>
          </w:r>
          <w:r w:rsidR="005B6B05">
            <w:rPr>
              <w:rFonts w:eastAsia="Times New Roman"/>
              <w:b/>
              <w:noProof/>
              <w:color w:val="000000" w:themeColor="text1"/>
            </w:rPr>
            <w:t xml:space="preserve"> </w:t>
          </w:r>
          <w:r w:rsidRPr="001B4021">
            <w:rPr>
              <w:rFonts w:eastAsia="Times New Roman"/>
              <w:b/>
              <w:noProof/>
              <w:color w:val="000000" w:themeColor="text1"/>
            </w:rPr>
            <w:t xml:space="preserve"> Rank of InTASC Standards by </w:t>
          </w:r>
          <w:r w:rsidRPr="001B4021">
            <w:rPr>
              <w:rFonts w:eastAsia="Times New Roman"/>
              <w:b/>
              <w:i/>
              <w:noProof/>
              <w:color w:val="000000" w:themeColor="text1"/>
            </w:rPr>
            <w:t>Proficiency</w:t>
          </w:r>
          <w:r w:rsidRPr="001B4021">
            <w:rPr>
              <w:rFonts w:eastAsia="Times New Roman"/>
              <w:b/>
              <w:noProof/>
              <w:color w:val="000000" w:themeColor="text1"/>
            </w:rPr>
            <w:t xml:space="preserve"> Frequency</w:t>
          </w:r>
          <w:r w:rsidRPr="001B4021">
            <w:rPr>
              <w:b/>
              <w:noProof/>
            </w:rPr>
            <w:tab/>
          </w:r>
          <w:r w:rsidRPr="001B4021">
            <w:rPr>
              <w:b/>
              <w:noProof/>
            </w:rPr>
            <w:fldChar w:fldCharType="begin"/>
          </w:r>
          <w:r w:rsidRPr="001B4021">
            <w:rPr>
              <w:b/>
              <w:noProof/>
            </w:rPr>
            <w:instrText xml:space="preserve"> PAGEREF _Toc492828027 \h </w:instrText>
          </w:r>
          <w:r w:rsidRPr="001B4021">
            <w:rPr>
              <w:b/>
              <w:noProof/>
            </w:rPr>
          </w:r>
          <w:r w:rsidRPr="001B4021">
            <w:rPr>
              <w:b/>
              <w:noProof/>
            </w:rPr>
            <w:fldChar w:fldCharType="separate"/>
          </w:r>
          <w:r w:rsidR="0010294F" w:rsidRPr="001B4021">
            <w:rPr>
              <w:b/>
              <w:noProof/>
            </w:rPr>
            <w:t>10</w:t>
          </w:r>
          <w:r w:rsidRPr="001B4021">
            <w:rPr>
              <w:b/>
              <w:noProof/>
            </w:rPr>
            <w:fldChar w:fldCharType="end"/>
          </w:r>
        </w:p>
        <w:p w14:paraId="3EA94C41"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color w:val="000000" w:themeColor="text1"/>
            </w:rPr>
            <w:t>Table 6</w:t>
          </w:r>
          <w:r w:rsidRPr="001B4021">
            <w:rPr>
              <w:rFonts w:eastAsia="Times New Roman"/>
              <w:b/>
              <w:noProof/>
              <w:color w:val="000000" w:themeColor="text1"/>
            </w:rPr>
            <w:t xml:space="preserve">:  </w:t>
          </w:r>
          <w:r w:rsidR="005B6B05">
            <w:rPr>
              <w:rFonts w:eastAsia="Times New Roman"/>
              <w:b/>
              <w:noProof/>
              <w:color w:val="000000" w:themeColor="text1"/>
            </w:rPr>
            <w:t xml:space="preserve"> </w:t>
          </w:r>
          <w:r w:rsidRPr="001B4021">
            <w:rPr>
              <w:rFonts w:eastAsia="Times New Roman"/>
              <w:b/>
              <w:noProof/>
              <w:color w:val="000000"/>
            </w:rPr>
            <w:t xml:space="preserve"> Rank of InTASC Standards by Developing Frequency</w:t>
          </w:r>
          <w:r w:rsidRPr="001B4021">
            <w:rPr>
              <w:b/>
              <w:noProof/>
            </w:rPr>
            <w:tab/>
          </w:r>
          <w:r w:rsidRPr="001B4021">
            <w:rPr>
              <w:b/>
              <w:noProof/>
            </w:rPr>
            <w:fldChar w:fldCharType="begin"/>
          </w:r>
          <w:r w:rsidRPr="001B4021">
            <w:rPr>
              <w:b/>
              <w:noProof/>
            </w:rPr>
            <w:instrText xml:space="preserve"> PAGEREF _Toc492828028 \h </w:instrText>
          </w:r>
          <w:r w:rsidRPr="001B4021">
            <w:rPr>
              <w:b/>
              <w:noProof/>
            </w:rPr>
          </w:r>
          <w:r w:rsidRPr="001B4021">
            <w:rPr>
              <w:b/>
              <w:noProof/>
            </w:rPr>
            <w:fldChar w:fldCharType="separate"/>
          </w:r>
          <w:r w:rsidR="0010294F" w:rsidRPr="001B4021">
            <w:rPr>
              <w:b/>
              <w:noProof/>
            </w:rPr>
            <w:t>11</w:t>
          </w:r>
          <w:r w:rsidRPr="001B4021">
            <w:rPr>
              <w:b/>
              <w:noProof/>
            </w:rPr>
            <w:fldChar w:fldCharType="end"/>
          </w:r>
        </w:p>
        <w:p w14:paraId="7FDF25A9"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color w:val="000000" w:themeColor="text1"/>
            </w:rPr>
            <w:t>Table 7</w:t>
          </w:r>
          <w:r w:rsidRPr="001B4021">
            <w:rPr>
              <w:rFonts w:eastAsia="Times New Roman"/>
              <w:b/>
              <w:bCs/>
              <w:noProof/>
              <w:color w:val="000000"/>
            </w:rPr>
            <w:t xml:space="preserve">:  </w:t>
          </w:r>
          <w:r w:rsidR="005B6B05">
            <w:rPr>
              <w:rFonts w:eastAsia="Times New Roman"/>
              <w:b/>
              <w:bCs/>
              <w:noProof/>
              <w:color w:val="000000"/>
            </w:rPr>
            <w:t xml:space="preserve"> </w:t>
          </w:r>
          <w:r w:rsidRPr="001B4021">
            <w:rPr>
              <w:rFonts w:eastAsia="Times New Roman"/>
              <w:b/>
              <w:bCs/>
              <w:noProof/>
              <w:color w:val="000000"/>
            </w:rPr>
            <w:t xml:space="preserve"> InTASC Standards by Average Rank of Rating Scores</w:t>
          </w:r>
          <w:r w:rsidRPr="001B4021">
            <w:rPr>
              <w:b/>
              <w:noProof/>
            </w:rPr>
            <w:tab/>
          </w:r>
          <w:r w:rsidRPr="001B4021">
            <w:rPr>
              <w:b/>
              <w:noProof/>
            </w:rPr>
            <w:fldChar w:fldCharType="begin"/>
          </w:r>
          <w:r w:rsidRPr="001B4021">
            <w:rPr>
              <w:b/>
              <w:noProof/>
            </w:rPr>
            <w:instrText xml:space="preserve"> PAGEREF _Toc492828029 \h </w:instrText>
          </w:r>
          <w:r w:rsidRPr="001B4021">
            <w:rPr>
              <w:b/>
              <w:noProof/>
            </w:rPr>
          </w:r>
          <w:r w:rsidRPr="001B4021">
            <w:rPr>
              <w:b/>
              <w:noProof/>
            </w:rPr>
            <w:fldChar w:fldCharType="separate"/>
          </w:r>
          <w:r w:rsidR="0010294F" w:rsidRPr="001B4021">
            <w:rPr>
              <w:b/>
              <w:noProof/>
            </w:rPr>
            <w:t>11</w:t>
          </w:r>
          <w:r w:rsidRPr="001B4021">
            <w:rPr>
              <w:b/>
              <w:noProof/>
            </w:rPr>
            <w:fldChar w:fldCharType="end"/>
          </w:r>
        </w:p>
        <w:p w14:paraId="2EB4D29C"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rPr>
            <w:t>Table 8</w:t>
          </w:r>
          <w:r w:rsidRPr="001B4021">
            <w:rPr>
              <w:rFonts w:eastAsia="Times New Roman"/>
              <w:b/>
              <w:bCs/>
              <w:noProof/>
            </w:rPr>
            <w:t xml:space="preserve">:  </w:t>
          </w:r>
          <w:r w:rsidR="005B6B05">
            <w:rPr>
              <w:rFonts w:eastAsia="Times New Roman"/>
              <w:b/>
              <w:bCs/>
              <w:noProof/>
            </w:rPr>
            <w:t xml:space="preserve"> </w:t>
          </w:r>
          <w:r w:rsidRPr="001B4021">
            <w:rPr>
              <w:rFonts w:eastAsia="Times New Roman"/>
              <w:b/>
              <w:bCs/>
              <w:noProof/>
            </w:rPr>
            <w:t xml:space="preserve"> InTASC Standards by Average Rank with Factors</w:t>
          </w:r>
          <w:r w:rsidRPr="001B4021">
            <w:rPr>
              <w:b/>
              <w:noProof/>
            </w:rPr>
            <w:tab/>
          </w:r>
          <w:r w:rsidRPr="001B4021">
            <w:rPr>
              <w:b/>
              <w:noProof/>
            </w:rPr>
            <w:fldChar w:fldCharType="begin"/>
          </w:r>
          <w:r w:rsidRPr="001B4021">
            <w:rPr>
              <w:b/>
              <w:noProof/>
            </w:rPr>
            <w:instrText xml:space="preserve"> PAGEREF _Toc492828030 \h </w:instrText>
          </w:r>
          <w:r w:rsidRPr="001B4021">
            <w:rPr>
              <w:b/>
              <w:noProof/>
            </w:rPr>
          </w:r>
          <w:r w:rsidRPr="001B4021">
            <w:rPr>
              <w:b/>
              <w:noProof/>
            </w:rPr>
            <w:fldChar w:fldCharType="separate"/>
          </w:r>
          <w:r w:rsidR="0010294F" w:rsidRPr="001B4021">
            <w:rPr>
              <w:b/>
              <w:noProof/>
            </w:rPr>
            <w:t>12</w:t>
          </w:r>
          <w:r w:rsidRPr="001B4021">
            <w:rPr>
              <w:b/>
              <w:noProof/>
            </w:rPr>
            <w:fldChar w:fldCharType="end"/>
          </w:r>
        </w:p>
        <w:p w14:paraId="6A007B38"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color w:val="000000" w:themeColor="text1"/>
            </w:rPr>
            <w:t>Table 9</w:t>
          </w:r>
          <w:r w:rsidRPr="001B4021">
            <w:rPr>
              <w:rFonts w:eastAsia="Times New Roman"/>
              <w:b/>
              <w:bCs/>
              <w:noProof/>
              <w:color w:val="000000" w:themeColor="text1"/>
            </w:rPr>
            <w:t xml:space="preserve">: Analysis </w:t>
          </w:r>
          <w:r w:rsidRPr="001B4021">
            <w:rPr>
              <w:rFonts w:eastAsia="Times New Roman"/>
              <w:b/>
              <w:bCs/>
              <w:noProof/>
              <w:color w:val="000000"/>
            </w:rPr>
            <w:t>of RWA Assessments by Stage and Qualifier per Individual InTASC Standards</w:t>
          </w:r>
          <w:r w:rsidRPr="001B4021">
            <w:rPr>
              <w:b/>
              <w:noProof/>
            </w:rPr>
            <w:tab/>
          </w:r>
          <w:r w:rsidRPr="001B4021">
            <w:rPr>
              <w:b/>
              <w:noProof/>
            </w:rPr>
            <w:fldChar w:fldCharType="begin"/>
          </w:r>
          <w:r w:rsidRPr="001B4021">
            <w:rPr>
              <w:b/>
              <w:noProof/>
            </w:rPr>
            <w:instrText xml:space="preserve"> PAGEREF _Toc492828031 \h </w:instrText>
          </w:r>
          <w:r w:rsidRPr="001B4021">
            <w:rPr>
              <w:b/>
              <w:noProof/>
            </w:rPr>
          </w:r>
          <w:r w:rsidRPr="001B4021">
            <w:rPr>
              <w:b/>
              <w:noProof/>
            </w:rPr>
            <w:fldChar w:fldCharType="separate"/>
          </w:r>
          <w:r w:rsidR="0010294F" w:rsidRPr="001B4021">
            <w:rPr>
              <w:b/>
              <w:noProof/>
            </w:rPr>
            <w:t>14</w:t>
          </w:r>
          <w:r w:rsidRPr="001B4021">
            <w:rPr>
              <w:b/>
              <w:noProof/>
            </w:rPr>
            <w:fldChar w:fldCharType="end"/>
          </w:r>
        </w:p>
        <w:p w14:paraId="2F83F74D"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rPr>
            <w:t>Table 10</w:t>
          </w:r>
          <w:r w:rsidRPr="001B4021">
            <w:rPr>
              <w:rFonts w:eastAsia="Times New Roman"/>
              <w:b/>
              <w:noProof/>
            </w:rPr>
            <w:t>: TEP GPAs by Average and 4.0s</w:t>
          </w:r>
          <w:r w:rsidRPr="001B4021">
            <w:rPr>
              <w:b/>
              <w:noProof/>
            </w:rPr>
            <w:tab/>
          </w:r>
          <w:r w:rsidRPr="001B4021">
            <w:rPr>
              <w:b/>
              <w:noProof/>
            </w:rPr>
            <w:fldChar w:fldCharType="begin"/>
          </w:r>
          <w:r w:rsidRPr="001B4021">
            <w:rPr>
              <w:b/>
              <w:noProof/>
            </w:rPr>
            <w:instrText xml:space="preserve"> PAGEREF _Toc492828032 \h </w:instrText>
          </w:r>
          <w:r w:rsidRPr="001B4021">
            <w:rPr>
              <w:b/>
              <w:noProof/>
            </w:rPr>
          </w:r>
          <w:r w:rsidRPr="001B4021">
            <w:rPr>
              <w:b/>
              <w:noProof/>
            </w:rPr>
            <w:fldChar w:fldCharType="separate"/>
          </w:r>
          <w:r w:rsidR="0010294F" w:rsidRPr="001B4021">
            <w:rPr>
              <w:b/>
              <w:noProof/>
            </w:rPr>
            <w:t>16</w:t>
          </w:r>
          <w:r w:rsidRPr="001B4021">
            <w:rPr>
              <w:b/>
              <w:noProof/>
            </w:rPr>
            <w:fldChar w:fldCharType="end"/>
          </w:r>
        </w:p>
        <w:p w14:paraId="74B30449"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color w:val="000000" w:themeColor="text1"/>
            </w:rPr>
            <w:t>Table 11</w:t>
          </w:r>
          <w:r w:rsidRPr="001B4021">
            <w:rPr>
              <w:rFonts w:eastAsia="Times New Roman"/>
              <w:b/>
              <w:bCs/>
              <w:noProof/>
              <w:color w:val="000000"/>
            </w:rPr>
            <w:t>: MACK Scores</w:t>
          </w:r>
          <w:r w:rsidRPr="001B4021">
            <w:rPr>
              <w:b/>
              <w:noProof/>
            </w:rPr>
            <w:tab/>
          </w:r>
          <w:r w:rsidRPr="001B4021">
            <w:rPr>
              <w:b/>
              <w:noProof/>
            </w:rPr>
            <w:fldChar w:fldCharType="begin"/>
          </w:r>
          <w:r w:rsidRPr="001B4021">
            <w:rPr>
              <w:b/>
              <w:noProof/>
            </w:rPr>
            <w:instrText xml:space="preserve"> PAGEREF _Toc492828033 \h </w:instrText>
          </w:r>
          <w:r w:rsidRPr="001B4021">
            <w:rPr>
              <w:b/>
              <w:noProof/>
            </w:rPr>
          </w:r>
          <w:r w:rsidRPr="001B4021">
            <w:rPr>
              <w:b/>
              <w:noProof/>
            </w:rPr>
            <w:fldChar w:fldCharType="separate"/>
          </w:r>
          <w:r w:rsidR="0010294F" w:rsidRPr="001B4021">
            <w:rPr>
              <w:b/>
              <w:noProof/>
            </w:rPr>
            <w:t>16</w:t>
          </w:r>
          <w:r w:rsidRPr="001B4021">
            <w:rPr>
              <w:b/>
              <w:noProof/>
            </w:rPr>
            <w:fldChar w:fldCharType="end"/>
          </w:r>
        </w:p>
        <w:p w14:paraId="12B85105"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color w:val="000000" w:themeColor="text1"/>
            </w:rPr>
            <w:t>Table 12</w:t>
          </w:r>
          <w:r w:rsidRPr="001B4021">
            <w:rPr>
              <w:rFonts w:eastAsia="Times New Roman"/>
              <w:b/>
              <w:bCs/>
              <w:noProof/>
              <w:color w:val="000000"/>
            </w:rPr>
            <w:t>: Assessment of Content Knowledge Demonstrated during Student Teaching</w:t>
          </w:r>
          <w:r w:rsidRPr="001B4021">
            <w:rPr>
              <w:b/>
              <w:noProof/>
            </w:rPr>
            <w:tab/>
          </w:r>
          <w:r w:rsidRPr="001B4021">
            <w:rPr>
              <w:b/>
              <w:noProof/>
            </w:rPr>
            <w:fldChar w:fldCharType="begin"/>
          </w:r>
          <w:r w:rsidRPr="001B4021">
            <w:rPr>
              <w:b/>
              <w:noProof/>
            </w:rPr>
            <w:instrText xml:space="preserve"> PAGEREF _Toc492828034 \h </w:instrText>
          </w:r>
          <w:r w:rsidRPr="001B4021">
            <w:rPr>
              <w:b/>
              <w:noProof/>
            </w:rPr>
          </w:r>
          <w:r w:rsidRPr="001B4021">
            <w:rPr>
              <w:b/>
              <w:noProof/>
            </w:rPr>
            <w:fldChar w:fldCharType="separate"/>
          </w:r>
          <w:r w:rsidR="0010294F" w:rsidRPr="001B4021">
            <w:rPr>
              <w:b/>
              <w:noProof/>
            </w:rPr>
            <w:t>17</w:t>
          </w:r>
          <w:r w:rsidRPr="001B4021">
            <w:rPr>
              <w:b/>
              <w:noProof/>
            </w:rPr>
            <w:fldChar w:fldCharType="end"/>
          </w:r>
        </w:p>
        <w:p w14:paraId="4408E0E4"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color w:val="000000" w:themeColor="text1"/>
            </w:rPr>
            <w:t>Table 13</w:t>
          </w:r>
          <w:r w:rsidRPr="001B4021">
            <w:rPr>
              <w:rFonts w:eastAsia="Times New Roman"/>
              <w:b/>
              <w:bCs/>
              <w:noProof/>
              <w:color w:val="000000"/>
            </w:rPr>
            <w:t>:  Teacher Scored TPT 4Cs Evaluation</w:t>
          </w:r>
          <w:r w:rsidRPr="001B4021">
            <w:rPr>
              <w:b/>
              <w:noProof/>
            </w:rPr>
            <w:tab/>
          </w:r>
          <w:r w:rsidRPr="001B4021">
            <w:rPr>
              <w:b/>
              <w:noProof/>
            </w:rPr>
            <w:fldChar w:fldCharType="begin"/>
          </w:r>
          <w:r w:rsidRPr="001B4021">
            <w:rPr>
              <w:b/>
              <w:noProof/>
            </w:rPr>
            <w:instrText xml:space="preserve"> PAGEREF _Toc492828035 \h </w:instrText>
          </w:r>
          <w:r w:rsidRPr="001B4021">
            <w:rPr>
              <w:b/>
              <w:noProof/>
            </w:rPr>
          </w:r>
          <w:r w:rsidRPr="001B4021">
            <w:rPr>
              <w:b/>
              <w:noProof/>
            </w:rPr>
            <w:fldChar w:fldCharType="separate"/>
          </w:r>
          <w:r w:rsidR="0010294F" w:rsidRPr="001B4021">
            <w:rPr>
              <w:b/>
              <w:noProof/>
            </w:rPr>
            <w:t>21</w:t>
          </w:r>
          <w:r w:rsidRPr="001B4021">
            <w:rPr>
              <w:b/>
              <w:noProof/>
            </w:rPr>
            <w:fldChar w:fldCharType="end"/>
          </w:r>
        </w:p>
        <w:p w14:paraId="23A86DE3"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color w:val="000000" w:themeColor="text1"/>
            </w:rPr>
            <w:t>Table 14</w:t>
          </w:r>
          <w:r w:rsidRPr="001B4021">
            <w:rPr>
              <w:rFonts w:eastAsia="Times New Roman"/>
              <w:b/>
              <w:noProof/>
              <w:color w:val="000000"/>
            </w:rPr>
            <w:t>:  Student Self-Scored TPT 4Cs Evaluation</w:t>
          </w:r>
          <w:r w:rsidRPr="001B4021">
            <w:rPr>
              <w:b/>
              <w:noProof/>
            </w:rPr>
            <w:tab/>
          </w:r>
          <w:r w:rsidRPr="001B4021">
            <w:rPr>
              <w:b/>
              <w:noProof/>
            </w:rPr>
            <w:fldChar w:fldCharType="begin"/>
          </w:r>
          <w:r w:rsidRPr="001B4021">
            <w:rPr>
              <w:b/>
              <w:noProof/>
            </w:rPr>
            <w:instrText xml:space="preserve"> PAGEREF _Toc492828036 \h </w:instrText>
          </w:r>
          <w:r w:rsidRPr="001B4021">
            <w:rPr>
              <w:b/>
              <w:noProof/>
            </w:rPr>
          </w:r>
          <w:r w:rsidRPr="001B4021">
            <w:rPr>
              <w:b/>
              <w:noProof/>
            </w:rPr>
            <w:fldChar w:fldCharType="separate"/>
          </w:r>
          <w:r w:rsidR="0010294F" w:rsidRPr="001B4021">
            <w:rPr>
              <w:b/>
              <w:noProof/>
            </w:rPr>
            <w:t>23</w:t>
          </w:r>
          <w:r w:rsidRPr="001B4021">
            <w:rPr>
              <w:b/>
              <w:noProof/>
            </w:rPr>
            <w:fldChar w:fldCharType="end"/>
          </w:r>
        </w:p>
        <w:p w14:paraId="0F8C55E4"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rPr>
            <w:t>Table 15</w:t>
          </w:r>
          <w:r w:rsidRPr="001B4021">
            <w:rPr>
              <w:rFonts w:eastAsia="Times New Roman"/>
              <w:b/>
              <w:bCs/>
              <w:noProof/>
            </w:rPr>
            <w:t xml:space="preserve">:  Overall </w:t>
          </w:r>
          <w:r w:rsidRPr="001B4021">
            <w:rPr>
              <w:rFonts w:eastAsia="Times New Roman"/>
              <w:b/>
              <w:bCs/>
              <w:noProof/>
              <w:color w:val="000000"/>
            </w:rPr>
            <w:t>Findings of STE Student Teacher Evaluations by Term</w:t>
          </w:r>
          <w:r w:rsidRPr="001B4021">
            <w:rPr>
              <w:b/>
              <w:noProof/>
            </w:rPr>
            <w:tab/>
          </w:r>
          <w:r w:rsidRPr="001B4021">
            <w:rPr>
              <w:b/>
              <w:noProof/>
            </w:rPr>
            <w:fldChar w:fldCharType="begin"/>
          </w:r>
          <w:r w:rsidRPr="001B4021">
            <w:rPr>
              <w:b/>
              <w:noProof/>
            </w:rPr>
            <w:instrText xml:space="preserve"> PAGEREF _Toc492828037 \h </w:instrText>
          </w:r>
          <w:r w:rsidRPr="001B4021">
            <w:rPr>
              <w:b/>
              <w:noProof/>
            </w:rPr>
          </w:r>
          <w:r w:rsidRPr="001B4021">
            <w:rPr>
              <w:b/>
              <w:noProof/>
            </w:rPr>
            <w:fldChar w:fldCharType="separate"/>
          </w:r>
          <w:r w:rsidR="0010294F" w:rsidRPr="001B4021">
            <w:rPr>
              <w:b/>
              <w:noProof/>
            </w:rPr>
            <w:t>26</w:t>
          </w:r>
          <w:r w:rsidRPr="001B4021">
            <w:rPr>
              <w:b/>
              <w:noProof/>
            </w:rPr>
            <w:fldChar w:fldCharType="end"/>
          </w:r>
        </w:p>
        <w:p w14:paraId="15C7B6B1"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rPr>
            <w:t xml:space="preserve">Table 16: </w:t>
          </w:r>
          <w:r w:rsidRPr="001B4021">
            <w:rPr>
              <w:rFonts w:eastAsia="Times New Roman"/>
              <w:b/>
              <w:bCs/>
              <w:noProof/>
            </w:rPr>
            <w:t>Elementary Student Teacher Evaluations</w:t>
          </w:r>
          <w:r w:rsidRPr="001B4021">
            <w:rPr>
              <w:b/>
              <w:noProof/>
            </w:rPr>
            <w:tab/>
          </w:r>
          <w:r w:rsidRPr="001B4021">
            <w:rPr>
              <w:b/>
              <w:noProof/>
            </w:rPr>
            <w:fldChar w:fldCharType="begin"/>
          </w:r>
          <w:r w:rsidRPr="001B4021">
            <w:rPr>
              <w:b/>
              <w:noProof/>
            </w:rPr>
            <w:instrText xml:space="preserve"> PAGEREF _Toc492828038 \h </w:instrText>
          </w:r>
          <w:r w:rsidRPr="001B4021">
            <w:rPr>
              <w:b/>
              <w:noProof/>
            </w:rPr>
          </w:r>
          <w:r w:rsidRPr="001B4021">
            <w:rPr>
              <w:b/>
              <w:noProof/>
            </w:rPr>
            <w:fldChar w:fldCharType="separate"/>
          </w:r>
          <w:r w:rsidR="0010294F" w:rsidRPr="001B4021">
            <w:rPr>
              <w:b/>
              <w:noProof/>
            </w:rPr>
            <w:t>26</w:t>
          </w:r>
          <w:r w:rsidRPr="001B4021">
            <w:rPr>
              <w:b/>
              <w:noProof/>
            </w:rPr>
            <w:fldChar w:fldCharType="end"/>
          </w:r>
        </w:p>
        <w:p w14:paraId="29B853E2"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rPr>
            <w:t>Table 17</w:t>
          </w:r>
          <w:r w:rsidR="000957BB" w:rsidRPr="001B4021">
            <w:rPr>
              <w:b/>
              <w:noProof/>
            </w:rPr>
            <w:t>: Distribution of Students' "Developing" by InTASC Indicator Categories</w:t>
          </w:r>
          <w:r w:rsidRPr="001B4021">
            <w:rPr>
              <w:b/>
              <w:noProof/>
            </w:rPr>
            <w:tab/>
          </w:r>
          <w:r w:rsidRPr="001B4021">
            <w:rPr>
              <w:b/>
              <w:noProof/>
            </w:rPr>
            <w:fldChar w:fldCharType="begin"/>
          </w:r>
          <w:r w:rsidRPr="001B4021">
            <w:rPr>
              <w:b/>
              <w:noProof/>
            </w:rPr>
            <w:instrText xml:space="preserve"> PAGEREF _Toc492828039 \h </w:instrText>
          </w:r>
          <w:r w:rsidRPr="001B4021">
            <w:rPr>
              <w:b/>
              <w:noProof/>
            </w:rPr>
          </w:r>
          <w:r w:rsidRPr="001B4021">
            <w:rPr>
              <w:b/>
              <w:noProof/>
            </w:rPr>
            <w:fldChar w:fldCharType="separate"/>
          </w:r>
          <w:r w:rsidR="0010294F" w:rsidRPr="001B4021">
            <w:rPr>
              <w:b/>
              <w:noProof/>
            </w:rPr>
            <w:t>28</w:t>
          </w:r>
          <w:r w:rsidRPr="001B4021">
            <w:rPr>
              <w:b/>
              <w:noProof/>
            </w:rPr>
            <w:fldChar w:fldCharType="end"/>
          </w:r>
        </w:p>
        <w:p w14:paraId="1F76C5B1" w14:textId="77777777" w:rsidR="00863003" w:rsidRPr="001B4021" w:rsidRDefault="00863003">
          <w:pPr>
            <w:pStyle w:val="TableofFigures"/>
            <w:tabs>
              <w:tab w:val="right" w:leader="dot" w:pos="10070"/>
            </w:tabs>
            <w:rPr>
              <w:rFonts w:asciiTheme="minorHAnsi" w:eastAsiaTheme="minorEastAsia" w:hAnsiTheme="minorHAnsi" w:cstheme="minorBidi"/>
              <w:b/>
              <w:noProof/>
            </w:rPr>
          </w:pPr>
          <w:r w:rsidRPr="001B4021">
            <w:rPr>
              <w:b/>
              <w:noProof/>
            </w:rPr>
            <w:t>Table 18</w:t>
          </w:r>
          <w:r w:rsidR="000957BB" w:rsidRPr="001B4021">
            <w:rPr>
              <w:b/>
              <w:noProof/>
            </w:rPr>
            <w:t>: Distribution of Students' "Developing" by Evaluator</w:t>
          </w:r>
          <w:r w:rsidRPr="001B4021">
            <w:rPr>
              <w:b/>
              <w:noProof/>
            </w:rPr>
            <w:tab/>
          </w:r>
          <w:r w:rsidRPr="001B4021">
            <w:rPr>
              <w:b/>
              <w:noProof/>
            </w:rPr>
            <w:fldChar w:fldCharType="begin"/>
          </w:r>
          <w:r w:rsidRPr="001B4021">
            <w:rPr>
              <w:b/>
              <w:noProof/>
            </w:rPr>
            <w:instrText xml:space="preserve"> PAGEREF _Toc492828040 \h </w:instrText>
          </w:r>
          <w:r w:rsidRPr="001B4021">
            <w:rPr>
              <w:b/>
              <w:noProof/>
            </w:rPr>
          </w:r>
          <w:r w:rsidRPr="001B4021">
            <w:rPr>
              <w:b/>
              <w:noProof/>
            </w:rPr>
            <w:fldChar w:fldCharType="separate"/>
          </w:r>
          <w:r w:rsidR="0010294F" w:rsidRPr="001B4021">
            <w:rPr>
              <w:b/>
              <w:noProof/>
            </w:rPr>
            <w:t>29</w:t>
          </w:r>
          <w:r w:rsidRPr="001B4021">
            <w:rPr>
              <w:b/>
              <w:noProof/>
            </w:rPr>
            <w:fldChar w:fldCharType="end"/>
          </w:r>
        </w:p>
        <w:p w14:paraId="2A8AE0CF" w14:textId="77777777" w:rsidR="00863003" w:rsidRPr="001B4021" w:rsidRDefault="00863003">
          <w:pPr>
            <w:pStyle w:val="TableofFigures"/>
            <w:tabs>
              <w:tab w:val="right" w:leader="dot" w:pos="10070"/>
            </w:tabs>
            <w:rPr>
              <w:b/>
              <w:noProof/>
            </w:rPr>
          </w:pPr>
          <w:r w:rsidRPr="001B4021">
            <w:rPr>
              <w:b/>
              <w:noProof/>
            </w:rPr>
            <w:t>Table 19</w:t>
          </w:r>
          <w:r w:rsidR="000957BB" w:rsidRPr="001B4021">
            <w:t xml:space="preserve"> </w:t>
          </w:r>
          <w:r w:rsidR="000957BB" w:rsidRPr="001B4021">
            <w:rPr>
              <w:b/>
              <w:noProof/>
            </w:rPr>
            <w:t>High Incident "Developings" InTASC Indicators by Category, # Hits, and Commonality</w:t>
          </w:r>
          <w:r w:rsidRPr="001B4021">
            <w:rPr>
              <w:b/>
              <w:noProof/>
            </w:rPr>
            <w:tab/>
          </w:r>
          <w:r w:rsidRPr="001B4021">
            <w:rPr>
              <w:b/>
              <w:noProof/>
            </w:rPr>
            <w:fldChar w:fldCharType="begin"/>
          </w:r>
          <w:r w:rsidRPr="001B4021">
            <w:rPr>
              <w:b/>
              <w:noProof/>
            </w:rPr>
            <w:instrText xml:space="preserve"> PAGEREF _Toc492828041 \h </w:instrText>
          </w:r>
          <w:r w:rsidRPr="001B4021">
            <w:rPr>
              <w:b/>
              <w:noProof/>
            </w:rPr>
          </w:r>
          <w:r w:rsidRPr="001B4021">
            <w:rPr>
              <w:b/>
              <w:noProof/>
            </w:rPr>
            <w:fldChar w:fldCharType="separate"/>
          </w:r>
          <w:r w:rsidR="0010294F" w:rsidRPr="001B4021">
            <w:rPr>
              <w:b/>
              <w:noProof/>
            </w:rPr>
            <w:t>30</w:t>
          </w:r>
          <w:r w:rsidRPr="001B4021">
            <w:rPr>
              <w:b/>
              <w:noProof/>
            </w:rPr>
            <w:fldChar w:fldCharType="end"/>
          </w:r>
        </w:p>
        <w:p w14:paraId="2CDF1FF2" w14:textId="77777777" w:rsidR="00304625" w:rsidRPr="001B4021" w:rsidRDefault="00A47208" w:rsidP="00304625">
          <w:pPr>
            <w:tabs>
              <w:tab w:val="left" w:leader="dot" w:pos="9792"/>
            </w:tabs>
            <w:rPr>
              <w:b/>
              <w:sz w:val="22"/>
            </w:rPr>
          </w:pPr>
          <w:r w:rsidRPr="001B4021">
            <w:rPr>
              <w:b/>
              <w:sz w:val="22"/>
            </w:rPr>
            <w:t>Table 20</w:t>
          </w:r>
          <w:r w:rsidR="008C57EB" w:rsidRPr="001B4021">
            <w:rPr>
              <w:b/>
              <w:sz w:val="22"/>
            </w:rPr>
            <w:t>: Student Teachers' Evaluations of their College Supervisors</w:t>
          </w:r>
          <w:r w:rsidR="00304625" w:rsidRPr="001B4021">
            <w:rPr>
              <w:b/>
              <w:sz w:val="22"/>
            </w:rPr>
            <w:tab/>
          </w:r>
          <w:r w:rsidR="0010294F" w:rsidRPr="001B4021">
            <w:rPr>
              <w:b/>
              <w:sz w:val="22"/>
            </w:rPr>
            <w:t xml:space="preserve"> </w:t>
          </w:r>
          <w:r w:rsidR="00304625" w:rsidRPr="001B4021">
            <w:rPr>
              <w:b/>
              <w:sz w:val="22"/>
            </w:rPr>
            <w:t>37</w:t>
          </w:r>
        </w:p>
        <w:p w14:paraId="06D949FB" w14:textId="77777777" w:rsidR="00A47208" w:rsidRPr="001B4021" w:rsidRDefault="00304625" w:rsidP="00304625">
          <w:pPr>
            <w:tabs>
              <w:tab w:val="left" w:leader="dot" w:pos="9792"/>
            </w:tabs>
            <w:rPr>
              <w:b/>
              <w:sz w:val="22"/>
            </w:rPr>
          </w:pPr>
          <w:r w:rsidRPr="001B4021">
            <w:rPr>
              <w:b/>
              <w:sz w:val="22"/>
            </w:rPr>
            <w:t>Table 21</w:t>
          </w:r>
          <w:r w:rsidR="000957BB" w:rsidRPr="001B4021">
            <w:rPr>
              <w:b/>
              <w:sz w:val="22"/>
            </w:rPr>
            <w:t>:</w:t>
          </w:r>
          <w:r w:rsidR="000957BB" w:rsidRPr="001B4021">
            <w:rPr>
              <w:rFonts w:eastAsia="Times New Roman"/>
              <w:b/>
              <w:bCs/>
              <w:color w:val="000000"/>
              <w:sz w:val="22"/>
            </w:rPr>
            <w:t xml:space="preserve"> Frequency of Employer Responses by InTASC Standards</w:t>
          </w:r>
          <w:r w:rsidR="00A47208" w:rsidRPr="001B4021">
            <w:rPr>
              <w:b/>
              <w:sz w:val="22"/>
            </w:rPr>
            <w:tab/>
          </w:r>
          <w:r w:rsidR="0010294F" w:rsidRPr="001B4021">
            <w:rPr>
              <w:b/>
              <w:sz w:val="22"/>
            </w:rPr>
            <w:t xml:space="preserve"> </w:t>
          </w:r>
          <w:r w:rsidR="006B0A16" w:rsidRPr="001B4021">
            <w:rPr>
              <w:b/>
              <w:sz w:val="22"/>
            </w:rPr>
            <w:t>39</w:t>
          </w:r>
        </w:p>
        <w:p w14:paraId="58F7C519" w14:textId="77777777" w:rsidR="00F90DD7" w:rsidRDefault="00321D70" w:rsidP="00330BD2">
          <w:pPr>
            <w:tabs>
              <w:tab w:val="left" w:leader="dot" w:pos="9792"/>
            </w:tabs>
            <w:jc w:val="center"/>
            <w:rPr>
              <w:b/>
              <w:sz w:val="26"/>
              <w:szCs w:val="26"/>
            </w:rPr>
          </w:pPr>
          <w:r w:rsidRPr="001B4021">
            <w:rPr>
              <w:b/>
              <w:sz w:val="22"/>
            </w:rPr>
            <w:fldChar w:fldCharType="end"/>
          </w:r>
          <w:r w:rsidR="00F90DD7">
            <w:rPr>
              <w:b/>
              <w:sz w:val="26"/>
              <w:szCs w:val="26"/>
            </w:rPr>
            <w:t>List of Charts</w:t>
          </w:r>
        </w:p>
        <w:p w14:paraId="345142A6" w14:textId="77777777" w:rsidR="00F90DD7" w:rsidRPr="004C554C" w:rsidRDefault="00761489" w:rsidP="001B4021">
          <w:pPr>
            <w:tabs>
              <w:tab w:val="left" w:leader="dot" w:pos="9720"/>
              <w:tab w:val="left" w:leader="dot" w:pos="9792"/>
              <w:tab w:val="left" w:leader="dot" w:pos="9900"/>
              <w:tab w:val="left" w:leader="dot" w:pos="10066"/>
            </w:tabs>
            <w:rPr>
              <w:b/>
              <w:color w:val="000000" w:themeColor="text1"/>
              <w:sz w:val="22"/>
              <w:szCs w:val="26"/>
            </w:rPr>
          </w:pPr>
          <w:r w:rsidRPr="00761489">
            <w:rPr>
              <w:b/>
              <w:color w:val="000000" w:themeColor="text1"/>
              <w:sz w:val="22"/>
              <w:szCs w:val="26"/>
            </w:rPr>
            <w:t>Chart 1: MSTA Average 2014-17 Scores</w:t>
          </w:r>
          <w:r w:rsidR="004C554C">
            <w:rPr>
              <w:b/>
              <w:color w:val="000000" w:themeColor="text1"/>
              <w:sz w:val="22"/>
              <w:szCs w:val="26"/>
            </w:rPr>
            <w:t>……………………………………………………………………….18</w:t>
          </w:r>
        </w:p>
        <w:p w14:paraId="2C76A9BB" w14:textId="77777777" w:rsidR="00761489" w:rsidRPr="00761489" w:rsidRDefault="00087484" w:rsidP="001B4021">
          <w:pPr>
            <w:tabs>
              <w:tab w:val="left" w:leader="dot" w:pos="9648"/>
              <w:tab w:val="left" w:leader="dot" w:pos="9720"/>
              <w:tab w:val="left" w:leader="dot" w:pos="9792"/>
              <w:tab w:val="left" w:leader="dot" w:pos="9900"/>
              <w:tab w:val="left" w:leader="dot" w:pos="10066"/>
            </w:tabs>
            <w:rPr>
              <w:b/>
              <w:bCs/>
              <w:sz w:val="22"/>
              <w:szCs w:val="26"/>
            </w:rPr>
          </w:pPr>
          <w:r w:rsidRPr="00761489">
            <w:rPr>
              <w:b/>
              <w:bCs/>
              <w:sz w:val="22"/>
              <w:szCs w:val="26"/>
            </w:rPr>
            <w:t>Chart 2:  SKC Division of Education PRAXIS II Scores</w:t>
          </w:r>
          <w:r w:rsidR="00330BD2">
            <w:rPr>
              <w:b/>
              <w:bCs/>
              <w:sz w:val="22"/>
              <w:szCs w:val="26"/>
            </w:rPr>
            <w:tab/>
          </w:r>
          <w:r w:rsidR="00761489" w:rsidRPr="00761489">
            <w:rPr>
              <w:b/>
              <w:bCs/>
              <w:sz w:val="22"/>
              <w:szCs w:val="26"/>
            </w:rPr>
            <w:tab/>
          </w:r>
          <w:r w:rsidR="004C554C">
            <w:rPr>
              <w:b/>
              <w:bCs/>
              <w:sz w:val="22"/>
              <w:szCs w:val="26"/>
            </w:rPr>
            <w:t>19</w:t>
          </w:r>
        </w:p>
        <w:p w14:paraId="5F5A3317" w14:textId="77777777" w:rsidR="00744884" w:rsidRDefault="00744884" w:rsidP="001B4021">
          <w:pPr>
            <w:tabs>
              <w:tab w:val="left" w:leader="dot" w:pos="9648"/>
              <w:tab w:val="left" w:leader="dot" w:pos="9720"/>
              <w:tab w:val="left" w:leader="dot" w:pos="9792"/>
              <w:tab w:val="left" w:leader="dot" w:pos="9900"/>
              <w:tab w:val="left" w:leader="dot" w:pos="10066"/>
            </w:tabs>
            <w:rPr>
              <w:b/>
              <w:bCs/>
              <w:sz w:val="22"/>
              <w:szCs w:val="26"/>
            </w:rPr>
          </w:pPr>
          <w:r w:rsidRPr="00744884">
            <w:rPr>
              <w:b/>
              <w:bCs/>
              <w:sz w:val="22"/>
              <w:szCs w:val="26"/>
            </w:rPr>
            <w:t>Chart 3: Elementary PRAXIS II Content Knowledge</w:t>
          </w:r>
          <w:r w:rsidR="00330BD2">
            <w:rPr>
              <w:b/>
              <w:bCs/>
              <w:sz w:val="22"/>
              <w:szCs w:val="26"/>
            </w:rPr>
            <w:tab/>
          </w:r>
          <w:r>
            <w:rPr>
              <w:b/>
              <w:bCs/>
              <w:sz w:val="22"/>
              <w:szCs w:val="26"/>
            </w:rPr>
            <w:tab/>
            <w:t>2</w:t>
          </w:r>
          <w:r w:rsidR="004C554C">
            <w:rPr>
              <w:b/>
              <w:bCs/>
              <w:sz w:val="22"/>
              <w:szCs w:val="26"/>
            </w:rPr>
            <w:t>0</w:t>
          </w:r>
        </w:p>
        <w:p w14:paraId="2266D020" w14:textId="77777777" w:rsidR="00744884" w:rsidRDefault="00744884" w:rsidP="001B4021">
          <w:pPr>
            <w:tabs>
              <w:tab w:val="left" w:leader="dot" w:pos="9648"/>
              <w:tab w:val="left" w:leader="dot" w:pos="9720"/>
              <w:tab w:val="left" w:leader="dot" w:pos="9792"/>
              <w:tab w:val="left" w:leader="dot" w:pos="9900"/>
              <w:tab w:val="left" w:leader="dot" w:pos="10066"/>
            </w:tabs>
            <w:rPr>
              <w:b/>
              <w:bCs/>
              <w:sz w:val="22"/>
              <w:szCs w:val="26"/>
            </w:rPr>
          </w:pPr>
          <w:r w:rsidRPr="00744884">
            <w:rPr>
              <w:b/>
              <w:bCs/>
              <w:sz w:val="22"/>
              <w:szCs w:val="26"/>
            </w:rPr>
            <w:t xml:space="preserve">Chart 4:  Student TPT </w:t>
          </w:r>
          <w:r>
            <w:rPr>
              <w:b/>
              <w:bCs/>
              <w:sz w:val="22"/>
              <w:szCs w:val="26"/>
            </w:rPr>
            <w:t>“</w:t>
          </w:r>
          <w:r w:rsidRPr="00744884">
            <w:rPr>
              <w:b/>
              <w:bCs/>
              <w:sz w:val="22"/>
              <w:szCs w:val="26"/>
            </w:rPr>
            <w:t>Developing</w:t>
          </w:r>
          <w:r>
            <w:rPr>
              <w:b/>
              <w:bCs/>
              <w:sz w:val="22"/>
              <w:szCs w:val="26"/>
            </w:rPr>
            <w:t>”</w:t>
          </w:r>
          <w:r w:rsidRPr="00744884">
            <w:rPr>
              <w:b/>
              <w:bCs/>
              <w:sz w:val="22"/>
              <w:szCs w:val="26"/>
            </w:rPr>
            <w:t xml:space="preserve"> Percentages per Teacher Ratings</w:t>
          </w:r>
          <w:r w:rsidR="00330BD2">
            <w:rPr>
              <w:b/>
              <w:bCs/>
              <w:sz w:val="22"/>
              <w:szCs w:val="26"/>
            </w:rPr>
            <w:tab/>
          </w:r>
          <w:r>
            <w:rPr>
              <w:b/>
              <w:bCs/>
              <w:sz w:val="22"/>
              <w:szCs w:val="26"/>
            </w:rPr>
            <w:tab/>
            <w:t>2</w:t>
          </w:r>
          <w:r w:rsidR="004C554C">
            <w:rPr>
              <w:b/>
              <w:bCs/>
              <w:sz w:val="22"/>
              <w:szCs w:val="26"/>
            </w:rPr>
            <w:t>2</w:t>
          </w:r>
        </w:p>
        <w:p w14:paraId="5D4B1C23" w14:textId="77777777" w:rsidR="00744884" w:rsidRDefault="00744884" w:rsidP="001B4021">
          <w:pPr>
            <w:tabs>
              <w:tab w:val="left" w:leader="dot" w:pos="9648"/>
              <w:tab w:val="left" w:leader="dot" w:pos="9720"/>
              <w:tab w:val="left" w:leader="dot" w:pos="9792"/>
              <w:tab w:val="left" w:leader="dot" w:pos="9900"/>
              <w:tab w:val="left" w:leader="dot" w:pos="10066"/>
            </w:tabs>
            <w:rPr>
              <w:b/>
              <w:bCs/>
              <w:sz w:val="22"/>
              <w:szCs w:val="26"/>
            </w:rPr>
          </w:pPr>
          <w:r w:rsidRPr="00744884">
            <w:rPr>
              <w:b/>
              <w:bCs/>
              <w:sz w:val="22"/>
              <w:szCs w:val="26"/>
            </w:rPr>
            <w:t xml:space="preserve">Chart 5:  Student TPT </w:t>
          </w:r>
          <w:r>
            <w:rPr>
              <w:b/>
              <w:bCs/>
              <w:sz w:val="22"/>
              <w:szCs w:val="26"/>
            </w:rPr>
            <w:t>“</w:t>
          </w:r>
          <w:r w:rsidRPr="00744884">
            <w:rPr>
              <w:b/>
              <w:bCs/>
              <w:sz w:val="22"/>
              <w:szCs w:val="26"/>
            </w:rPr>
            <w:t>Developing</w:t>
          </w:r>
          <w:r>
            <w:rPr>
              <w:b/>
              <w:bCs/>
              <w:sz w:val="22"/>
              <w:szCs w:val="26"/>
            </w:rPr>
            <w:t>”</w:t>
          </w:r>
          <w:r w:rsidRPr="00744884">
            <w:rPr>
              <w:b/>
              <w:bCs/>
              <w:sz w:val="22"/>
              <w:szCs w:val="26"/>
            </w:rPr>
            <w:t xml:space="preserve"> Response Percentage per Students' Self-Scoring</w:t>
          </w:r>
          <w:r w:rsidR="00330BD2">
            <w:rPr>
              <w:b/>
              <w:bCs/>
              <w:sz w:val="22"/>
              <w:szCs w:val="26"/>
            </w:rPr>
            <w:tab/>
          </w:r>
          <w:r w:rsidR="00330BD2">
            <w:rPr>
              <w:b/>
              <w:bCs/>
              <w:sz w:val="22"/>
              <w:szCs w:val="26"/>
            </w:rPr>
            <w:tab/>
            <w:t>2</w:t>
          </w:r>
          <w:r w:rsidR="004C554C">
            <w:rPr>
              <w:b/>
              <w:bCs/>
              <w:sz w:val="22"/>
              <w:szCs w:val="26"/>
            </w:rPr>
            <w:t>4</w:t>
          </w:r>
          <w:r w:rsidRPr="00744884">
            <w:rPr>
              <w:b/>
              <w:bCs/>
              <w:sz w:val="22"/>
              <w:szCs w:val="26"/>
            </w:rPr>
            <w:t xml:space="preserve"> </w:t>
          </w:r>
        </w:p>
        <w:p w14:paraId="2583539E" w14:textId="77777777" w:rsidR="00304625" w:rsidRDefault="00304625" w:rsidP="001B4021">
          <w:pPr>
            <w:tabs>
              <w:tab w:val="left" w:leader="dot" w:pos="9648"/>
              <w:tab w:val="left" w:leader="dot" w:pos="9720"/>
              <w:tab w:val="left" w:leader="dot" w:pos="9792"/>
              <w:tab w:val="left" w:leader="dot" w:pos="9900"/>
              <w:tab w:val="left" w:leader="dot" w:pos="10066"/>
            </w:tabs>
            <w:rPr>
              <w:b/>
              <w:bCs/>
              <w:sz w:val="22"/>
              <w:szCs w:val="26"/>
            </w:rPr>
          </w:pPr>
          <w:r>
            <w:rPr>
              <w:b/>
              <w:bCs/>
              <w:sz w:val="22"/>
              <w:szCs w:val="26"/>
            </w:rPr>
            <w:t xml:space="preserve">Chart 6: </w:t>
          </w:r>
          <w:r w:rsidR="006B0A16">
            <w:rPr>
              <w:b/>
              <w:bCs/>
              <w:sz w:val="22"/>
              <w:szCs w:val="26"/>
            </w:rPr>
            <w:t>Program Satisfaction Survey by Completers</w:t>
          </w:r>
          <w:r w:rsidR="006B0A16">
            <w:rPr>
              <w:b/>
              <w:bCs/>
              <w:sz w:val="22"/>
              <w:szCs w:val="26"/>
            </w:rPr>
            <w:tab/>
            <w:t xml:space="preserve"> 34</w:t>
          </w:r>
        </w:p>
        <w:p w14:paraId="3A2B9344" w14:textId="77777777" w:rsidR="006B0A16" w:rsidRPr="00744884" w:rsidRDefault="006B0A16" w:rsidP="001B4021">
          <w:pPr>
            <w:tabs>
              <w:tab w:val="left" w:leader="dot" w:pos="9648"/>
              <w:tab w:val="left" w:leader="dot" w:pos="9720"/>
              <w:tab w:val="left" w:leader="dot" w:pos="9792"/>
              <w:tab w:val="left" w:leader="dot" w:pos="9900"/>
              <w:tab w:val="left" w:leader="dot" w:pos="10066"/>
            </w:tabs>
            <w:rPr>
              <w:b/>
              <w:bCs/>
              <w:sz w:val="22"/>
              <w:szCs w:val="26"/>
            </w:rPr>
          </w:pPr>
          <w:r>
            <w:rPr>
              <w:b/>
              <w:bCs/>
              <w:sz w:val="22"/>
              <w:szCs w:val="26"/>
            </w:rPr>
            <w:t>Chart 7: Developing Percentages for STE and Employer Responses</w:t>
          </w:r>
          <w:r>
            <w:rPr>
              <w:b/>
              <w:bCs/>
              <w:sz w:val="22"/>
              <w:szCs w:val="26"/>
            </w:rPr>
            <w:tab/>
            <w:t xml:space="preserve"> 40</w:t>
          </w:r>
        </w:p>
        <w:p w14:paraId="34BD5A64" w14:textId="77777777" w:rsidR="00863003" w:rsidRPr="00D224F6" w:rsidRDefault="00D224F6" w:rsidP="001B4021">
          <w:pPr>
            <w:tabs>
              <w:tab w:val="left" w:leader="dot" w:pos="9540"/>
              <w:tab w:val="left" w:leader="dot" w:pos="9720"/>
              <w:tab w:val="left" w:leader="dot" w:pos="9792"/>
            </w:tabs>
            <w:spacing w:before="0" w:after="200"/>
            <w:rPr>
              <w:b/>
              <w:sz w:val="22"/>
            </w:rPr>
          </w:pPr>
          <w:r w:rsidRPr="00D224F6">
            <w:rPr>
              <w:b/>
              <w:sz w:val="22"/>
            </w:rPr>
            <w:t xml:space="preserve">Chart 8: </w:t>
          </w:r>
          <w:r w:rsidR="00F71CC8">
            <w:rPr>
              <w:b/>
              <w:sz w:val="22"/>
            </w:rPr>
            <w:t>IEFA Assessment</w:t>
          </w:r>
          <w:r w:rsidR="00F71CC8">
            <w:rPr>
              <w:b/>
              <w:sz w:val="22"/>
            </w:rPr>
            <w:tab/>
          </w:r>
          <w:r w:rsidR="00F71CC8">
            <w:rPr>
              <w:b/>
              <w:sz w:val="22"/>
            </w:rPr>
            <w:tab/>
            <w:t>41</w:t>
          </w:r>
          <w:r w:rsidRPr="00D224F6">
            <w:rPr>
              <w:b/>
              <w:sz w:val="22"/>
            </w:rPr>
            <w:t xml:space="preserve"> </w:t>
          </w:r>
          <w:r w:rsidR="00863003" w:rsidRPr="00D224F6">
            <w:rPr>
              <w:b/>
              <w:sz w:val="22"/>
            </w:rPr>
            <w:br w:type="page"/>
          </w:r>
        </w:p>
        <w:p w14:paraId="5F417B21" w14:textId="77777777" w:rsidR="00863003" w:rsidRDefault="00637DC1" w:rsidP="00863003">
          <w:pPr>
            <w:jc w:val="center"/>
            <w:rPr>
              <w:b/>
            </w:rPr>
          </w:pPr>
          <w:r>
            <w:rPr>
              <w:b/>
            </w:rPr>
            <w:lastRenderedPageBreak/>
            <w:t>Salish Kootenai College Division of Education Data Analysis 2014-2017</w:t>
          </w:r>
        </w:p>
      </w:sdtContent>
    </w:sdt>
    <w:p w14:paraId="6E1D81CB" w14:textId="77777777" w:rsidR="00637DC1" w:rsidRPr="00863003" w:rsidRDefault="00637DC1" w:rsidP="00863003">
      <w:pPr>
        <w:spacing w:before="0" w:after="200"/>
        <w:rPr>
          <w:rFonts w:eastAsiaTheme="majorEastAsia" w:cstheme="majorBidi"/>
          <w:b/>
          <w:bCs/>
          <w:color w:val="000000" w:themeColor="text1"/>
          <w:sz w:val="26"/>
          <w:szCs w:val="28"/>
        </w:rPr>
      </w:pPr>
      <w:r w:rsidRPr="00863003">
        <w:rPr>
          <w:b/>
        </w:rPr>
        <w:t>Introduction</w:t>
      </w:r>
    </w:p>
    <w:p w14:paraId="7D093CA8" w14:textId="77777777" w:rsidR="00637DC1" w:rsidRDefault="00637DC1" w:rsidP="00637DC1">
      <w:r w:rsidRPr="00164BC5">
        <w:t xml:space="preserve">The purpose of this analysis </w:t>
      </w:r>
      <w:r>
        <w:t>was</w:t>
      </w:r>
      <w:r w:rsidRPr="00164BC5">
        <w:t xml:space="preserve"> to examine </w:t>
      </w:r>
      <w:r>
        <w:t xml:space="preserve">student data during the program years of 2014 to 2017 in order to </w:t>
      </w:r>
      <w:r w:rsidRPr="00164BC5">
        <w:t xml:space="preserve">evaluate student growth, student proficiency, program strengths, and program needs based primarily upon assessment indicators that are common to all </w:t>
      </w:r>
      <w:r>
        <w:t>four division</w:t>
      </w:r>
      <w:r w:rsidRPr="00164BC5">
        <w:t xml:space="preserve"> programs, </w:t>
      </w:r>
      <w:r>
        <w:t xml:space="preserve">that is, </w:t>
      </w:r>
      <w:r w:rsidRPr="00164BC5">
        <w:t>Early Childhood, Elementary Education, Broadfield Science</w:t>
      </w:r>
      <w:r w:rsidR="0010294F">
        <w:t>,</w:t>
      </w:r>
      <w:r>
        <w:t xml:space="preserve"> and Mathematics.  This analysis is conducted by a person who has no direct responsibility for the quality of scores on these various evaluations</w:t>
      </w:r>
      <w:r w:rsidR="00A25C5A">
        <w:t>. T</w:t>
      </w:r>
      <w:r>
        <w:t xml:space="preserve">his analysis is conducted without bias in regard to the findings, conclusions, and/or recommendations.  </w:t>
      </w:r>
    </w:p>
    <w:p w14:paraId="6668F93B" w14:textId="77777777" w:rsidR="00723112" w:rsidRPr="00726BA4" w:rsidRDefault="00723112" w:rsidP="00EF1A55">
      <w:pPr>
        <w:pStyle w:val="Heading1"/>
      </w:pPr>
      <w:bookmarkStart w:id="1" w:name="_Toc493221875"/>
      <w:r w:rsidRPr="00726BA4">
        <w:t>Assessment Framework</w:t>
      </w:r>
      <w:bookmarkEnd w:id="1"/>
    </w:p>
    <w:p w14:paraId="642E448B" w14:textId="77777777" w:rsidR="00723112" w:rsidRDefault="00723112" w:rsidP="00637DC1">
      <w:r>
        <w:t>The Educator Preparation Provider (EPP), that is, the Salish Kootenai College Division of Education, utilizes</w:t>
      </w:r>
      <w:r w:rsidR="00823107">
        <w:t xml:space="preserve"> a format having</w:t>
      </w:r>
      <w:r>
        <w:t xml:space="preserve"> three degrees or stages of progress toward teacher licensure. </w:t>
      </w:r>
      <w:r w:rsidR="00823107">
        <w:t xml:space="preserve"> </w:t>
      </w:r>
      <w:r w:rsidR="0010294F">
        <w:t xml:space="preserve">The </w:t>
      </w:r>
      <w:r w:rsidR="00F174EA">
        <w:t xml:space="preserve">Teacher Education Preparation or </w:t>
      </w:r>
      <w:r w:rsidR="00823107">
        <w:t>Stage I</w:t>
      </w:r>
      <w:r>
        <w:t xml:space="preserve"> </w:t>
      </w:r>
      <w:r w:rsidR="0010294F">
        <w:t xml:space="preserve">(TEP 1) </w:t>
      </w:r>
      <w:r w:rsidR="00823107" w:rsidRPr="00AF7798">
        <w:t>is the entry level stage</w:t>
      </w:r>
      <w:r w:rsidR="00823107">
        <w:t xml:space="preserve"> wherein </w:t>
      </w:r>
      <w:r w:rsidR="00823107" w:rsidRPr="00AF7798">
        <w:t>a student</w:t>
      </w:r>
      <w:r w:rsidR="001A0F6F">
        <w:t xml:space="preserve"> </w:t>
      </w:r>
      <w:r w:rsidR="00823107" w:rsidRPr="00AF7798">
        <w:t xml:space="preserve">must </w:t>
      </w:r>
      <w:r w:rsidR="00823107">
        <w:t xml:space="preserve">meet or exceed the </w:t>
      </w:r>
      <w:r w:rsidR="00823107" w:rsidRPr="00AF7798">
        <w:t xml:space="preserve">criteria of </w:t>
      </w:r>
      <w:r w:rsidR="00F174EA">
        <w:t>TEP 1/</w:t>
      </w:r>
      <w:r w:rsidR="00823107" w:rsidRPr="00AF7798">
        <w:t>Stage I in order to be admitted to teacher cand</w:t>
      </w:r>
      <w:r w:rsidR="00823107">
        <w:t xml:space="preserve">idacy.  The summative assessment of </w:t>
      </w:r>
      <w:r w:rsidR="00F174EA">
        <w:t>TEP 1/</w:t>
      </w:r>
      <w:r w:rsidR="00823107">
        <w:t>Stage I typically takes place at the end of the sophomore year.</w:t>
      </w:r>
      <w:r w:rsidR="00823107" w:rsidRPr="00AF7798">
        <w:t xml:space="preserve"> </w:t>
      </w:r>
      <w:r w:rsidR="00F174EA">
        <w:t>TEP 2/</w:t>
      </w:r>
      <w:r w:rsidR="00823107">
        <w:t xml:space="preserve">Stage II is the period between entering candidacy and prior to student teaching.  The student teaching experience is </w:t>
      </w:r>
      <w:r w:rsidR="008A74A0">
        <w:t xml:space="preserve">the third and final degree of the </w:t>
      </w:r>
      <w:r w:rsidR="002025E6">
        <w:t>Teacher Program</w:t>
      </w:r>
      <w:r w:rsidR="008A74A0">
        <w:t xml:space="preserve"> and referred to as </w:t>
      </w:r>
      <w:r w:rsidR="00F174EA">
        <w:t>TEP 3/</w:t>
      </w:r>
      <w:r w:rsidR="00823107">
        <w:t>Stage III</w:t>
      </w:r>
      <w:r w:rsidR="008A74A0">
        <w:t>.  At the end of each stage, students must present their portfolios, which is a</w:t>
      </w:r>
      <w:r w:rsidR="001A0F6F">
        <w:t>n</w:t>
      </w:r>
      <w:r w:rsidR="008A74A0">
        <w:t xml:space="preserve"> extensive</w:t>
      </w:r>
      <w:r w:rsidR="001A0F6F">
        <w:t>, integral, and holistic</w:t>
      </w:r>
      <w:r w:rsidR="008A74A0">
        <w:t xml:space="preserve"> collection of artifacts that demonstrate how well they have done through the stage being assessed.  In addition, two faculty members conduct an interview of the student</w:t>
      </w:r>
      <w:r w:rsidR="00B84AC5">
        <w:t>s</w:t>
      </w:r>
      <w:r w:rsidR="008A74A0">
        <w:t xml:space="preserve"> during the presentation of their portfolios.</w:t>
      </w:r>
    </w:p>
    <w:p w14:paraId="5E0868DA" w14:textId="77777777" w:rsidR="008A74A0" w:rsidRDefault="008A74A0" w:rsidP="00637DC1">
      <w:r>
        <w:t>Briefly, each stage includes the following assessments:</w:t>
      </w:r>
      <w:r w:rsidR="005A78D6">
        <w:t xml:space="preserve">  </w:t>
      </w:r>
    </w:p>
    <w:p w14:paraId="03AB63AB" w14:textId="77777777" w:rsidR="008A74A0" w:rsidRPr="00726BA4" w:rsidRDefault="00F174EA" w:rsidP="002910B0">
      <w:pPr>
        <w:pStyle w:val="Heading2"/>
      </w:pPr>
      <w:bookmarkStart w:id="2" w:name="_Toc493221876"/>
      <w:r>
        <w:t>Stage</w:t>
      </w:r>
      <w:r w:rsidR="008A74A0" w:rsidRPr="00726BA4">
        <w:t xml:space="preserve"> </w:t>
      </w:r>
      <w:r w:rsidR="00726BA4">
        <w:t>I</w:t>
      </w:r>
      <w:r w:rsidR="00B84AC5" w:rsidRPr="00726BA4">
        <w:t>: TEP 1</w:t>
      </w:r>
      <w:r w:rsidR="005B5E26">
        <w:t>.</w:t>
      </w:r>
      <w:bookmarkEnd w:id="2"/>
      <w:r>
        <w:t xml:space="preserve"> </w:t>
      </w:r>
    </w:p>
    <w:p w14:paraId="611B3CE2" w14:textId="77777777" w:rsidR="00B84AC5" w:rsidRDefault="008A74A0" w:rsidP="00637DC1">
      <w:r>
        <w:t xml:space="preserve">The aspiring students are </w:t>
      </w:r>
      <w:r w:rsidR="00B84AC5">
        <w:t>provided with an extensive semina</w:t>
      </w:r>
      <w:r w:rsidR="007D3DF3">
        <w:t>r</w:t>
      </w:r>
      <w:r w:rsidR="0048140F">
        <w:t xml:space="preserve"> introducing</w:t>
      </w:r>
      <w:r w:rsidR="0010294F">
        <w:t xml:space="preserve"> the</w:t>
      </w:r>
      <w:r w:rsidR="0048140F">
        <w:t xml:space="preserve"> students to the </w:t>
      </w:r>
      <w:r w:rsidR="004738EB">
        <w:t>Transition to Professional Teaching</w:t>
      </w:r>
      <w:r w:rsidR="0048140F">
        <w:t xml:space="preserve"> (TPT) dispositions</w:t>
      </w:r>
      <w:r w:rsidR="007D3DF3">
        <w:t>,</w:t>
      </w:r>
      <w:r w:rsidR="00B84AC5">
        <w:t xml:space="preserve"> whi</w:t>
      </w:r>
      <w:r w:rsidR="007D3DF3">
        <w:t xml:space="preserve">ch include among other topics the core principles of the entire Salish Kootenai College (SKC) known as the 4-Cs, i.e., Culture,  Communication, Community, and Critical Thinking; effective conflict management; understanding positive interactions; family and community connections; oral and written paradigms; confidentially, executive functions; positive attitudes; and learning environments. </w:t>
      </w:r>
      <w:r w:rsidR="00822CE9">
        <w:t xml:space="preserve">The TPT criteria are also repeated </w:t>
      </w:r>
      <w:r w:rsidR="0010294F">
        <w:t xml:space="preserve">later in the </w:t>
      </w:r>
      <w:r w:rsidR="002025E6">
        <w:t>Preparation Program</w:t>
      </w:r>
      <w:r w:rsidR="0010294F">
        <w:t>.</w:t>
      </w:r>
      <w:r w:rsidR="00822CE9">
        <w:t xml:space="preserve">    </w:t>
      </w:r>
    </w:p>
    <w:p w14:paraId="6CFB98EB" w14:textId="77777777" w:rsidR="0048140F" w:rsidRDefault="00822CE9" w:rsidP="00637DC1">
      <w:r>
        <w:t>A few e</w:t>
      </w:r>
      <w:r w:rsidR="0048140F">
        <w:t xml:space="preserve">xamples of what students produce during Stage I include a self-assessment of their TPT exposure, </w:t>
      </w:r>
      <w:r w:rsidR="007C69BE">
        <w:rPr>
          <w:i/>
        </w:rPr>
        <w:t>six</w:t>
      </w:r>
      <w:r w:rsidR="0048140F">
        <w:t xml:space="preserve"> Reflective Written Analyzes (RWA), a Philosophy of Education paper, and</w:t>
      </w:r>
      <w:r>
        <w:t xml:space="preserve"> an Indian Education for All assessment.  </w:t>
      </w:r>
      <w:r w:rsidR="007C69BE">
        <w:t xml:space="preserve">A total of at least 18 assessments are made at the </w:t>
      </w:r>
      <w:r w:rsidR="00F67133">
        <w:t>Stage I</w:t>
      </w:r>
      <w:r w:rsidR="007C69BE">
        <w:t xml:space="preserve"> or TEP 1 level.</w:t>
      </w:r>
    </w:p>
    <w:p w14:paraId="0B266204" w14:textId="77777777" w:rsidR="00822CE9" w:rsidRPr="00726BA4" w:rsidRDefault="00822CE9" w:rsidP="002910B0">
      <w:pPr>
        <w:pStyle w:val="Heading2"/>
      </w:pPr>
      <w:bookmarkStart w:id="3" w:name="_Toc493221877"/>
      <w:r w:rsidRPr="00726BA4">
        <w:t>Stage II: TEP 2</w:t>
      </w:r>
      <w:r w:rsidR="005B5E26">
        <w:t>.</w:t>
      </w:r>
      <w:bookmarkEnd w:id="3"/>
    </w:p>
    <w:p w14:paraId="5A8AE3A1" w14:textId="77777777" w:rsidR="007C69BE" w:rsidRDefault="00822CE9" w:rsidP="007C69BE">
      <w:pPr>
        <w:rPr>
          <w:bCs/>
        </w:rPr>
      </w:pPr>
      <w:r>
        <w:t xml:space="preserve">Just as Stage I </w:t>
      </w:r>
      <w:r w:rsidR="007C69BE">
        <w:t>serves</w:t>
      </w:r>
      <w:r>
        <w:t xml:space="preserve"> as a filter to identify students for Stage II, Stage II serves as a filter to </w:t>
      </w:r>
      <w:r w:rsidR="007C69BE">
        <w:t xml:space="preserve">determine </w:t>
      </w:r>
      <w:r>
        <w:t xml:space="preserve">Stage III enrollment, that is, Stage II </w:t>
      </w:r>
      <w:r w:rsidR="007C69BE">
        <w:t>identifies</w:t>
      </w:r>
      <w:r>
        <w:t xml:space="preserve"> those candidates who have demonstrated they are adequately prepared to serve as a student teacher in an actual school setting.</w:t>
      </w:r>
      <w:r w:rsidR="00D90474">
        <w:t xml:space="preserve">  Stage II contains the </w:t>
      </w:r>
      <w:r w:rsidR="002817B0">
        <w:t xml:space="preserve">greater volume of </w:t>
      </w:r>
      <w:r w:rsidR="00D90474">
        <w:t xml:space="preserve">assessment data </w:t>
      </w:r>
      <w:r w:rsidR="001A0F6F">
        <w:t xml:space="preserve">with </w:t>
      </w:r>
      <w:r w:rsidR="007C69BE">
        <w:t>no fewer than 49 assessment</w:t>
      </w:r>
      <w:r w:rsidR="004441A8">
        <w:t xml:space="preserve"> </w:t>
      </w:r>
      <w:r w:rsidR="007C69BE">
        <w:t>s</w:t>
      </w:r>
      <w:r w:rsidR="004441A8">
        <w:t>cores</w:t>
      </w:r>
      <w:r w:rsidR="007C69BE">
        <w:t xml:space="preserve"> that cover all 10 InTASC</w:t>
      </w:r>
      <w:r w:rsidR="00273819">
        <w:t xml:space="preserve"> standards</w:t>
      </w:r>
      <w:r w:rsidR="007C69BE">
        <w:t xml:space="preserve"> as well as </w:t>
      </w:r>
      <w:r w:rsidR="002F4FA9">
        <w:t>all</w:t>
      </w:r>
      <w:r w:rsidR="007C69BE">
        <w:t xml:space="preserve"> 11 Montana </w:t>
      </w:r>
      <w:r w:rsidR="007C69BE" w:rsidRPr="007C69BE">
        <w:rPr>
          <w:bCs/>
        </w:rPr>
        <w:t>10.58.501 ARM Teaching Standards.</w:t>
      </w:r>
      <w:r w:rsidR="002817B0">
        <w:rPr>
          <w:bCs/>
        </w:rPr>
        <w:t xml:space="preserve">  Stage II or TEP 2 </w:t>
      </w:r>
      <w:r w:rsidR="00633301">
        <w:rPr>
          <w:bCs/>
        </w:rPr>
        <w:t>is evaluated via a portfolio and interview by two faculty members just prior to student teaching.</w:t>
      </w:r>
      <w:r w:rsidR="007C69BE" w:rsidRPr="007C69BE">
        <w:rPr>
          <w:bCs/>
        </w:rPr>
        <w:t xml:space="preserve"> </w:t>
      </w:r>
    </w:p>
    <w:p w14:paraId="1D4B8FD3" w14:textId="77777777" w:rsidR="00633301" w:rsidRPr="00633301" w:rsidRDefault="0032567F" w:rsidP="002910B0">
      <w:pPr>
        <w:pStyle w:val="Heading2"/>
      </w:pPr>
      <w:bookmarkStart w:id="4" w:name="_Toc493221878"/>
      <w:r>
        <w:lastRenderedPageBreak/>
        <w:t>Stage III</w:t>
      </w:r>
      <w:r w:rsidR="00633301">
        <w:t xml:space="preserve">: </w:t>
      </w:r>
      <w:r w:rsidR="00633301" w:rsidRPr="00633301">
        <w:t>TEP 3</w:t>
      </w:r>
      <w:r w:rsidR="005B5E26">
        <w:t>.</w:t>
      </w:r>
      <w:bookmarkEnd w:id="4"/>
    </w:p>
    <w:p w14:paraId="76D9608C" w14:textId="77777777" w:rsidR="0048140F" w:rsidRDefault="00633301" w:rsidP="00637DC1">
      <w:r>
        <w:t>TEP 3 generates the data needed to determine if a candidate who has completed student teaching is appropriately prepared for proficiency as a first year teacher.</w:t>
      </w:r>
      <w:r w:rsidR="004441A8">
        <w:t xml:space="preserve">  TPT dispositions are reviewed and assessed again. </w:t>
      </w:r>
      <w:r>
        <w:t xml:space="preserve"> There are a minimum of 41 </w:t>
      </w:r>
      <w:r w:rsidR="0032567F">
        <w:t xml:space="preserve">additional </w:t>
      </w:r>
      <w:r>
        <w:t xml:space="preserve">assessment scores </w:t>
      </w:r>
      <w:r w:rsidR="0032567F">
        <w:t xml:space="preserve">available in Stage III </w:t>
      </w:r>
      <w:r>
        <w:t xml:space="preserve">to inform faculty regarding the final decision to recommend or not recommend licensure. </w:t>
      </w:r>
      <w:r w:rsidR="0032567F">
        <w:t xml:space="preserve">These data also include evidence of all 10 InTASC Standards as well as all 11 Montana </w:t>
      </w:r>
      <w:r w:rsidR="0032567F" w:rsidRPr="007C69BE">
        <w:rPr>
          <w:bCs/>
        </w:rPr>
        <w:t>10.58.501 ARM Teaching Standards.</w:t>
      </w:r>
      <w:r w:rsidR="0032567F">
        <w:rPr>
          <w:bCs/>
        </w:rPr>
        <w:t xml:space="preserve">  </w:t>
      </w:r>
      <w:r>
        <w:t xml:space="preserve"> </w:t>
      </w:r>
    </w:p>
    <w:p w14:paraId="0C59E555" w14:textId="77777777" w:rsidR="004843FD" w:rsidRPr="00726BA4" w:rsidRDefault="004843FD" w:rsidP="00EF1A55">
      <w:pPr>
        <w:pStyle w:val="Heading1"/>
      </w:pPr>
      <w:bookmarkStart w:id="5" w:name="_Toc493221879"/>
      <w:r w:rsidRPr="00726BA4">
        <w:t>Division Assessment Definitions</w:t>
      </w:r>
      <w:bookmarkEnd w:id="5"/>
    </w:p>
    <w:p w14:paraId="6FBF94C4" w14:textId="77777777" w:rsidR="004843FD" w:rsidRPr="004843FD" w:rsidRDefault="004843FD" w:rsidP="00550994">
      <w:r w:rsidRPr="004843FD">
        <w:t xml:space="preserve">Nearly all Salish Kootenai College Division of Education constructed assessments utilizing rank order data such as those taken from a Likert type of scale are differentiated according to content matter and purpose but it is important to understand these assessments also share a common form.  Each assessment of this type consists of rating items having four possible categories for responses signified by the terms, Unacceptable, Developing, Proficient, and Exemplary.  </w:t>
      </w:r>
    </w:p>
    <w:p w14:paraId="23BB0776" w14:textId="77777777" w:rsidR="004843FD" w:rsidRPr="004843FD" w:rsidRDefault="004843FD" w:rsidP="004843FD">
      <w:r w:rsidRPr="004843FD">
        <w:t xml:space="preserve">These terms are scored and defined as follows:  </w:t>
      </w:r>
      <w:r w:rsidRPr="004843FD">
        <w:rPr>
          <w:bCs/>
          <w:i/>
          <w:iCs/>
        </w:rPr>
        <w:t>Unacceptable</w:t>
      </w:r>
      <w:r w:rsidRPr="004843FD">
        <w:rPr>
          <w:bCs/>
        </w:rPr>
        <w:t xml:space="preserve"> (0)</w:t>
      </w:r>
      <w:r w:rsidRPr="004843FD">
        <w:rPr>
          <w:i/>
          <w:iCs/>
        </w:rPr>
        <w:t xml:space="preserve"> </w:t>
      </w:r>
      <w:r w:rsidRPr="004843FD">
        <w:t xml:space="preserve">is defined to be a level of work lacking demonstration of one or more essential elements being assessed.  </w:t>
      </w:r>
      <w:r w:rsidRPr="004843FD">
        <w:rPr>
          <w:bCs/>
          <w:i/>
          <w:iCs/>
        </w:rPr>
        <w:t>Developing</w:t>
      </w:r>
      <w:r w:rsidRPr="004843FD">
        <w:rPr>
          <w:bCs/>
        </w:rPr>
        <w:t xml:space="preserve"> (1)</w:t>
      </w:r>
      <w:r w:rsidRPr="004843FD">
        <w:t xml:space="preserve"> is defined to be a level of work that indicates all essential elements have been demonstrated, but one or more of those elements are underdeveloped to the degree it would be prudent for the candidate to receive additional preparation in each underdeveloped area.  </w:t>
      </w:r>
    </w:p>
    <w:p w14:paraId="5919EED7" w14:textId="77777777" w:rsidR="004843FD" w:rsidRPr="004843FD" w:rsidRDefault="004843FD" w:rsidP="004843FD">
      <w:r w:rsidRPr="004843FD">
        <w:rPr>
          <w:bCs/>
          <w:i/>
          <w:iCs/>
        </w:rPr>
        <w:t>Proficient</w:t>
      </w:r>
      <w:r w:rsidRPr="004843FD">
        <w:rPr>
          <w:bCs/>
        </w:rPr>
        <w:t xml:space="preserve"> (2)</w:t>
      </w:r>
      <w:r w:rsidRPr="004843FD">
        <w:t xml:space="preserve"> is defined to be a level of performance that indicates all assessed elements have been developed to the degree that it is reasonable to conclude the candidate has </w:t>
      </w:r>
      <w:r w:rsidRPr="00C53520">
        <w:rPr>
          <w:bCs/>
          <w:i/>
        </w:rPr>
        <w:t>succeeded</w:t>
      </w:r>
      <w:r w:rsidRPr="004843FD">
        <w:t xml:space="preserve"> in meeting the stated expectations of the assessment.  </w:t>
      </w:r>
      <w:r w:rsidRPr="004843FD">
        <w:rPr>
          <w:bCs/>
        </w:rPr>
        <w:t>E</w:t>
      </w:r>
      <w:r w:rsidRPr="004843FD">
        <w:rPr>
          <w:bCs/>
          <w:i/>
          <w:iCs/>
        </w:rPr>
        <w:t xml:space="preserve">xemplary </w:t>
      </w:r>
      <w:r w:rsidRPr="004843FD">
        <w:rPr>
          <w:bCs/>
        </w:rPr>
        <w:t xml:space="preserve">(3) </w:t>
      </w:r>
      <w:r w:rsidRPr="004843FD">
        <w:t>is defined to be a proficient candidate who has developed beyond expectations in one or more essential areas being assessed.</w:t>
      </w:r>
    </w:p>
    <w:p w14:paraId="52EC980E" w14:textId="77777777" w:rsidR="004843FD" w:rsidRDefault="004843FD" w:rsidP="004843FD">
      <w:r w:rsidRPr="004843FD">
        <w:t xml:space="preserve">In this way, Division of Education constructed assessments utilizing ordinal data are being revised or have been revised to share this common form; however, they are all differentiated according to the content matter and purpose of the assessment.  Scoring and terminology for other types of data are defined as they are introduced </w:t>
      </w:r>
      <w:r>
        <w:t xml:space="preserve">to those who administer and complete the assessments as well as </w:t>
      </w:r>
      <w:r w:rsidRPr="004843FD">
        <w:t>in this report.</w:t>
      </w:r>
    </w:p>
    <w:p w14:paraId="599224C8" w14:textId="77777777" w:rsidR="004843FD" w:rsidRDefault="001D6F1E" w:rsidP="004843FD">
      <w:r>
        <w:t>In addition, the concepts signified by the words s</w:t>
      </w:r>
      <w:r w:rsidRPr="001D6F1E">
        <w:rPr>
          <w:i/>
        </w:rPr>
        <w:t>tandards</w:t>
      </w:r>
      <w:r>
        <w:t xml:space="preserve"> and </w:t>
      </w:r>
      <w:r w:rsidRPr="001D6F1E">
        <w:rPr>
          <w:i/>
        </w:rPr>
        <w:t>principles</w:t>
      </w:r>
      <w:r>
        <w:t xml:space="preserve"> are often used interchangeably.  For the purpose of consistency within this report, </w:t>
      </w:r>
      <w:r w:rsidR="00146F93">
        <w:t xml:space="preserve">the usual philosophical use of </w:t>
      </w:r>
      <w:r>
        <w:t xml:space="preserve">standard is </w:t>
      </w:r>
      <w:r w:rsidR="00146F93">
        <w:t xml:space="preserve">as </w:t>
      </w:r>
      <w:r>
        <w:t xml:space="preserve">an exemplar or criterion of what is desired to be achieved whereas a principle is the elemental aspect of what comes first in order to achieve a given standard.  </w:t>
      </w:r>
      <w:r w:rsidR="00146F93">
        <w:t xml:space="preserve">This distinction is similar to the distinction between </w:t>
      </w:r>
      <w:r w:rsidR="00146F93" w:rsidRPr="00146F93">
        <w:rPr>
          <w:i/>
        </w:rPr>
        <w:t>axiom</w:t>
      </w:r>
      <w:r w:rsidR="00146F93">
        <w:t xml:space="preserve"> and </w:t>
      </w:r>
      <w:r w:rsidR="00146F93" w:rsidRPr="00146F93">
        <w:rPr>
          <w:i/>
        </w:rPr>
        <w:t>postulate</w:t>
      </w:r>
      <w:r w:rsidR="00146F93">
        <w:t xml:space="preserve"> or between </w:t>
      </w:r>
      <w:r w:rsidR="00146F93" w:rsidRPr="00146F93">
        <w:rPr>
          <w:i/>
        </w:rPr>
        <w:t>genus</w:t>
      </w:r>
      <w:r w:rsidR="00146F93">
        <w:t xml:space="preserve"> and </w:t>
      </w:r>
      <w:r w:rsidR="00146F93" w:rsidRPr="00146F93">
        <w:rPr>
          <w:i/>
        </w:rPr>
        <w:t>species</w:t>
      </w:r>
      <w:r w:rsidR="00146F93">
        <w:t xml:space="preserve">.  </w:t>
      </w:r>
      <w:r>
        <w:t>Outcomes are measurements and/or a determination of the degrees to which the principles that sustain the standards have been demonstrated by those who were assessed</w:t>
      </w:r>
      <w:r w:rsidR="00146F93">
        <w:t xml:space="preserve"> accordingly</w:t>
      </w:r>
      <w:r>
        <w:t>.</w:t>
      </w:r>
    </w:p>
    <w:p w14:paraId="5699E260" w14:textId="77777777" w:rsidR="00AB40BA" w:rsidRDefault="00AB40BA" w:rsidP="005A78D6">
      <w:r>
        <w:t xml:space="preserve">A final distinction is made between student and candidate.  A </w:t>
      </w:r>
      <w:r w:rsidRPr="00AB40BA">
        <w:rPr>
          <w:i/>
        </w:rPr>
        <w:t>student</w:t>
      </w:r>
      <w:r>
        <w:t xml:space="preserve"> is a person still in Stage I, so some assessments apply just to students; a </w:t>
      </w:r>
      <w:r w:rsidRPr="00AB40BA">
        <w:rPr>
          <w:i/>
        </w:rPr>
        <w:t>candidate</w:t>
      </w:r>
      <w:r>
        <w:t xml:space="preserve"> is a person in Stage II or Stage III with some assessments applying just to candidates; and </w:t>
      </w:r>
      <w:r w:rsidRPr="00911CB2">
        <w:rPr>
          <w:i/>
        </w:rPr>
        <w:t>student/candidate</w:t>
      </w:r>
      <w:r>
        <w:t xml:space="preserve"> assessments </w:t>
      </w:r>
      <w:r w:rsidR="005F73DA">
        <w:t>are</w:t>
      </w:r>
      <w:r>
        <w:t xml:space="preserve"> </w:t>
      </w:r>
      <w:r w:rsidR="00911CB2">
        <w:t>administered</w:t>
      </w:r>
      <w:r>
        <w:t xml:space="preserve"> to both students and candidates.</w:t>
      </w:r>
    </w:p>
    <w:p w14:paraId="688E4EEB" w14:textId="77777777" w:rsidR="000A4836" w:rsidRDefault="001D6F1E" w:rsidP="00EF1A55">
      <w:pPr>
        <w:pStyle w:val="Heading1"/>
      </w:pPr>
      <w:bookmarkStart w:id="6" w:name="_Toc493221880"/>
      <w:r w:rsidRPr="00726BA4">
        <w:lastRenderedPageBreak/>
        <w:t>Major Components of Assessment</w:t>
      </w:r>
      <w:bookmarkEnd w:id="6"/>
    </w:p>
    <w:p w14:paraId="3676899A" w14:textId="77777777" w:rsidR="000A4836" w:rsidRPr="00CA160D" w:rsidRDefault="000A4836" w:rsidP="002910B0">
      <w:pPr>
        <w:pStyle w:val="Heading2"/>
      </w:pPr>
      <w:bookmarkStart w:id="7" w:name="_Toc493221881"/>
      <w:r w:rsidRPr="00CA160D">
        <w:t>TEP</w:t>
      </w:r>
      <w:r w:rsidR="00183B99" w:rsidRPr="00CA160D">
        <w:t>.</w:t>
      </w:r>
      <w:bookmarkEnd w:id="7"/>
    </w:p>
    <w:p w14:paraId="7C89B8ED" w14:textId="77777777" w:rsidR="0079443B" w:rsidRPr="000949B3" w:rsidRDefault="0079443B" w:rsidP="0079443B">
      <w:bookmarkStart w:id="8" w:name="_Toc492190887"/>
      <w:r w:rsidRPr="00F174EA">
        <w:t>An average of 26 elementary/early childhood students/candidates produced over 3,000 Teacher Education Preparation data points that were used among other things, to identify who qualifies for candidacy to the teaching profession, who qualifies for student teaching, and most of all, who is to be recommended for professional teaching licensure.  However, other assessments are used to inform decision makers about the attainment of students/candidates as well as program improvement.</w:t>
      </w:r>
      <w:bookmarkEnd w:id="8"/>
    </w:p>
    <w:p w14:paraId="4A885016" w14:textId="77777777" w:rsidR="000A4836" w:rsidRDefault="000A4836" w:rsidP="002910B0">
      <w:pPr>
        <w:pStyle w:val="Heading2"/>
      </w:pPr>
      <w:bookmarkStart w:id="9" w:name="_Toc493221882"/>
      <w:r>
        <w:t>TPT</w:t>
      </w:r>
      <w:r w:rsidR="00183B99">
        <w:t>.</w:t>
      </w:r>
      <w:bookmarkEnd w:id="9"/>
    </w:p>
    <w:p w14:paraId="6A753CB9" w14:textId="77777777" w:rsidR="0079443B" w:rsidRPr="00F174EA" w:rsidRDefault="0079443B" w:rsidP="0079443B">
      <w:bookmarkStart w:id="10" w:name="_Toc492190968"/>
      <w:r w:rsidRPr="00F174EA">
        <w:t xml:space="preserve">The total Transition to Professional Teaching (TPT) scores represent the degree to which a student/candidate understands the core values of the Salish Kootenai College.  These assessments are administered and self-scored by the students </w:t>
      </w:r>
      <w:r w:rsidR="00C02699">
        <w:t xml:space="preserve">as well as a faculty member </w:t>
      </w:r>
      <w:r w:rsidRPr="00F174EA">
        <w:t xml:space="preserve">at the Stage </w:t>
      </w:r>
      <w:r w:rsidR="00C02699">
        <w:t>I</w:t>
      </w:r>
      <w:r w:rsidRPr="00F174EA">
        <w:t xml:space="preserve">I level but also reintroduced </w:t>
      </w:r>
      <w:r w:rsidR="00C53520">
        <w:t xml:space="preserve">typically at </w:t>
      </w:r>
      <w:r w:rsidRPr="00F174EA">
        <w:t>the Stage III level where they are scored by the supervising teachers.</w:t>
      </w:r>
      <w:bookmarkEnd w:id="10"/>
      <w:r w:rsidRPr="00F174EA">
        <w:t xml:space="preserve"> </w:t>
      </w:r>
    </w:p>
    <w:p w14:paraId="2EA77227" w14:textId="77777777" w:rsidR="00F174EA" w:rsidRDefault="004738EB" w:rsidP="002910B0">
      <w:pPr>
        <w:pStyle w:val="Heading2"/>
      </w:pPr>
      <w:bookmarkStart w:id="11" w:name="_Toc493221883"/>
      <w:r w:rsidRPr="004738EB">
        <w:t xml:space="preserve">MACK </w:t>
      </w:r>
      <w:r w:rsidR="00F174EA">
        <w:t>s</w:t>
      </w:r>
      <w:r w:rsidRPr="004738EB">
        <w:t>cores</w:t>
      </w:r>
      <w:r w:rsidR="00183B99">
        <w:t>.</w:t>
      </w:r>
      <w:bookmarkEnd w:id="11"/>
      <w:r w:rsidR="00F174EA">
        <w:t xml:space="preserve">  </w:t>
      </w:r>
    </w:p>
    <w:p w14:paraId="68D3200D" w14:textId="77777777" w:rsidR="00304625" w:rsidRDefault="00F174EA" w:rsidP="00304625">
      <w:r w:rsidRPr="00F174EA">
        <w:t>T</w:t>
      </w:r>
      <w:r w:rsidR="00726BA4" w:rsidRPr="00F174EA">
        <w:t>he Montana Assessment for Content Knowledge (MACK</w:t>
      </w:r>
      <w:r w:rsidR="00183B99" w:rsidRPr="00F174EA">
        <w:t>) is</w:t>
      </w:r>
      <w:r w:rsidR="00726BA4" w:rsidRPr="00F174EA">
        <w:t xml:space="preserve"> a composite scaled score comprised of three components, i.e., the students</w:t>
      </w:r>
      <w:r w:rsidR="00183B99">
        <w:t>’ TEP</w:t>
      </w:r>
      <w:r w:rsidR="00726BA4" w:rsidRPr="00F174EA">
        <w:t xml:space="preserve"> GPA, </w:t>
      </w:r>
      <w:r w:rsidR="00D830E9">
        <w:t>Montana Student Teaching Assessment (MSTA) scores</w:t>
      </w:r>
      <w:r w:rsidR="00726BA4" w:rsidRPr="00F174EA">
        <w:t>, and PRAXIS II scores.  A MACK score of 7 is considered a passing score.</w:t>
      </w:r>
    </w:p>
    <w:p w14:paraId="0681836B" w14:textId="77777777" w:rsidR="00304625" w:rsidRPr="00304625" w:rsidRDefault="00304625" w:rsidP="00304625">
      <w:pPr>
        <w:rPr>
          <w:i/>
        </w:rPr>
      </w:pPr>
      <w:r>
        <w:tab/>
      </w:r>
      <w:r w:rsidRPr="00C53520">
        <w:rPr>
          <w:b/>
          <w:i/>
        </w:rPr>
        <w:t>TEP GPA</w:t>
      </w:r>
      <w:r>
        <w:rPr>
          <w:i/>
        </w:rPr>
        <w:t>.</w:t>
      </w:r>
    </w:p>
    <w:p w14:paraId="319B5A8B" w14:textId="77777777" w:rsidR="00304625" w:rsidRDefault="00726BA4" w:rsidP="004843FD">
      <w:r>
        <w:t xml:space="preserve">Grade point averages are calculated on a 0 to 4 scale without plus/minus designators.  The GPAs are computed over approximately 13 specified courses.  These GPA scores </w:t>
      </w:r>
      <w:r w:rsidR="00965BA9">
        <w:t>are converted back</w:t>
      </w:r>
      <w:r>
        <w:t xml:space="preserve"> into </w:t>
      </w:r>
      <w:r w:rsidR="00965BA9">
        <w:t xml:space="preserve">interval scaled scores 0, 1, 2, 3, and 4.  Once in integral form, each score is used as a component of the MACK score.  </w:t>
      </w:r>
      <w:r>
        <w:t xml:space="preserve"> </w:t>
      </w:r>
    </w:p>
    <w:p w14:paraId="2FED4297" w14:textId="77777777" w:rsidR="00304625" w:rsidRPr="00304625" w:rsidRDefault="00304625" w:rsidP="004843FD">
      <w:pPr>
        <w:rPr>
          <w:i/>
        </w:rPr>
      </w:pPr>
      <w:r>
        <w:tab/>
      </w:r>
      <w:r w:rsidRPr="00D830E9">
        <w:rPr>
          <w:b/>
          <w:i/>
        </w:rPr>
        <w:t>Student teaching assessments</w:t>
      </w:r>
      <w:r>
        <w:rPr>
          <w:i/>
        </w:rPr>
        <w:t>.</w:t>
      </w:r>
    </w:p>
    <w:p w14:paraId="3C206842" w14:textId="77777777" w:rsidR="00183B99" w:rsidRDefault="00965BA9" w:rsidP="00304625">
      <w:pPr>
        <w:rPr>
          <w:sz w:val="26"/>
          <w:szCs w:val="26"/>
        </w:rPr>
      </w:pPr>
      <w:r w:rsidRPr="00965BA9">
        <w:rPr>
          <w:sz w:val="26"/>
          <w:szCs w:val="26"/>
        </w:rPr>
        <w:t xml:space="preserve">The </w:t>
      </w:r>
      <w:r w:rsidR="00183B99">
        <w:rPr>
          <w:sz w:val="26"/>
          <w:szCs w:val="26"/>
        </w:rPr>
        <w:t xml:space="preserve">Montana </w:t>
      </w:r>
      <w:r w:rsidR="002F5554">
        <w:rPr>
          <w:sz w:val="26"/>
          <w:szCs w:val="26"/>
        </w:rPr>
        <w:t>S</w:t>
      </w:r>
      <w:r w:rsidR="009E155F">
        <w:rPr>
          <w:sz w:val="26"/>
          <w:szCs w:val="26"/>
        </w:rPr>
        <w:t xml:space="preserve">tudent </w:t>
      </w:r>
      <w:r w:rsidR="002F5554">
        <w:rPr>
          <w:sz w:val="26"/>
          <w:szCs w:val="26"/>
        </w:rPr>
        <w:t>T</w:t>
      </w:r>
      <w:r w:rsidR="009E155F">
        <w:rPr>
          <w:sz w:val="26"/>
          <w:szCs w:val="26"/>
        </w:rPr>
        <w:t xml:space="preserve">eaching </w:t>
      </w:r>
      <w:r w:rsidR="002F5554">
        <w:rPr>
          <w:sz w:val="26"/>
          <w:szCs w:val="26"/>
        </w:rPr>
        <w:t>A</w:t>
      </w:r>
      <w:r w:rsidR="009E155F">
        <w:rPr>
          <w:sz w:val="26"/>
          <w:szCs w:val="26"/>
        </w:rPr>
        <w:t>ssessments (</w:t>
      </w:r>
      <w:r w:rsidR="00183B99">
        <w:rPr>
          <w:sz w:val="26"/>
          <w:szCs w:val="26"/>
        </w:rPr>
        <w:t>M</w:t>
      </w:r>
      <w:r w:rsidRPr="00965BA9">
        <w:rPr>
          <w:sz w:val="26"/>
          <w:szCs w:val="26"/>
        </w:rPr>
        <w:t>STA</w:t>
      </w:r>
      <w:r w:rsidR="009E155F">
        <w:rPr>
          <w:sz w:val="26"/>
          <w:szCs w:val="26"/>
        </w:rPr>
        <w:t>)</w:t>
      </w:r>
      <w:r w:rsidRPr="00965BA9">
        <w:rPr>
          <w:sz w:val="26"/>
          <w:szCs w:val="26"/>
        </w:rPr>
        <w:t xml:space="preserve"> scores are also used as a component of the MACK score.  </w:t>
      </w:r>
      <w:r>
        <w:rPr>
          <w:sz w:val="26"/>
          <w:szCs w:val="26"/>
        </w:rPr>
        <w:t>These scores are derived from the supervising teacher utilizing the Division of Education</w:t>
      </w:r>
      <w:r w:rsidR="009E155F">
        <w:rPr>
          <w:sz w:val="26"/>
          <w:szCs w:val="26"/>
        </w:rPr>
        <w:t>’s</w:t>
      </w:r>
      <w:r>
        <w:rPr>
          <w:sz w:val="26"/>
          <w:szCs w:val="26"/>
        </w:rPr>
        <w:t xml:space="preserve"> 0 to 4 scale and</w:t>
      </w:r>
      <w:r w:rsidR="009E155F">
        <w:rPr>
          <w:sz w:val="26"/>
          <w:szCs w:val="26"/>
        </w:rPr>
        <w:t xml:space="preserve"> the</w:t>
      </w:r>
      <w:r w:rsidR="00C53520">
        <w:rPr>
          <w:sz w:val="26"/>
          <w:szCs w:val="26"/>
        </w:rPr>
        <w:t xml:space="preserve">ir </w:t>
      </w:r>
      <w:r>
        <w:rPr>
          <w:sz w:val="26"/>
          <w:szCs w:val="26"/>
        </w:rPr>
        <w:t>descriptors as defined above.</w:t>
      </w:r>
      <w:r w:rsidRPr="00965BA9">
        <w:rPr>
          <w:sz w:val="26"/>
          <w:szCs w:val="26"/>
        </w:rPr>
        <w:t xml:space="preserve"> </w:t>
      </w:r>
    </w:p>
    <w:p w14:paraId="424C77CE" w14:textId="77777777" w:rsidR="00304625" w:rsidRPr="00304625" w:rsidRDefault="00304625" w:rsidP="00304625">
      <w:pPr>
        <w:rPr>
          <w:i/>
        </w:rPr>
      </w:pPr>
      <w:r>
        <w:rPr>
          <w:sz w:val="26"/>
          <w:szCs w:val="26"/>
        </w:rPr>
        <w:tab/>
      </w:r>
      <w:r>
        <w:rPr>
          <w:i/>
          <w:sz w:val="26"/>
          <w:szCs w:val="26"/>
        </w:rPr>
        <w:t>PRAXS II.</w:t>
      </w:r>
    </w:p>
    <w:p w14:paraId="0A9CECC9" w14:textId="77777777" w:rsidR="00AB40BA" w:rsidRDefault="00AB40BA" w:rsidP="00AB40BA">
      <w:r>
        <w:t>T</w:t>
      </w:r>
      <w:r w:rsidRPr="00CD3399">
        <w:t xml:space="preserve">he PRAXIS </w:t>
      </w:r>
      <w:r>
        <w:t xml:space="preserve">II is an assessment </w:t>
      </w:r>
      <w:r w:rsidRPr="00CD3399">
        <w:t>constructed by the Educational Testing Service (ETS).   The PRAXIS</w:t>
      </w:r>
      <w:r>
        <w:t xml:space="preserve"> II</w:t>
      </w:r>
      <w:r w:rsidRPr="00CD3399">
        <w:t xml:space="preserve"> is the name, not acronym, of a commonly used test for </w:t>
      </w:r>
      <w:r w:rsidR="00D830E9">
        <w:t xml:space="preserve">teacher </w:t>
      </w:r>
      <w:r w:rsidRPr="00CD3399">
        <w:t xml:space="preserve">licensure and certification throughout the nation.  </w:t>
      </w:r>
      <w:r>
        <w:t>The PRAXIS II, with some exceptions, assigns a score of 100 to the lowest score and 200 to the highest and linearly divides the score assignments proportionally between.  In general, the scale is interval level data but not ratio</w:t>
      </w:r>
      <w:r w:rsidR="00D830E9">
        <w:t>,</w:t>
      </w:r>
      <w:r>
        <w:t xml:space="preserve"> given it does not have a true zero.  However, for the purposes of serving as a component of the MACK score, the actual Praxis II score is converted </w:t>
      </w:r>
      <w:r w:rsidR="00D830E9">
        <w:t>one more time to</w:t>
      </w:r>
      <w:r>
        <w:t xml:space="preserve"> a 0 to 4 scale and the interval properties of the initial PRAXIS scores are lost when expressed in the 0 to 4 scale.</w:t>
      </w:r>
    </w:p>
    <w:p w14:paraId="4134916B" w14:textId="77777777" w:rsidR="00911CB2" w:rsidRDefault="00911CB2" w:rsidP="00AB40BA">
      <w:r>
        <w:t xml:space="preserve">The MACK score is then compiled from the GPAs, </w:t>
      </w:r>
      <w:r w:rsidR="002D0B83">
        <w:t>the MSTA scores</w:t>
      </w:r>
      <w:r>
        <w:t>, and the PRAXIS II scores, all of which are based on a 0 to 4 scale.  The sum of these three categories of scores must be at least 7 in ord</w:t>
      </w:r>
      <w:r w:rsidR="00183B99">
        <w:t xml:space="preserve">er to have a passing MACK score, </w:t>
      </w:r>
      <w:r w:rsidR="00D830E9">
        <w:t xml:space="preserve">which is </w:t>
      </w:r>
      <w:r w:rsidR="00183B99">
        <w:t>a requirement for recommendation for licensure.</w:t>
      </w:r>
    </w:p>
    <w:p w14:paraId="18BB8AC4" w14:textId="77777777" w:rsidR="008B712E" w:rsidRPr="008B712E" w:rsidRDefault="008B712E" w:rsidP="00EF1A55">
      <w:pPr>
        <w:pStyle w:val="Heading1"/>
      </w:pPr>
      <w:bookmarkStart w:id="12" w:name="_Toc493221884"/>
      <w:r w:rsidRPr="008B712E">
        <w:lastRenderedPageBreak/>
        <w:t>Distinctions Preliminary to Analyses</w:t>
      </w:r>
      <w:bookmarkEnd w:id="12"/>
    </w:p>
    <w:p w14:paraId="6DC75352" w14:textId="77777777" w:rsidR="008B712E" w:rsidRPr="00AF7798" w:rsidRDefault="008B712E" w:rsidP="008B712E">
      <w:r>
        <w:t>I</w:t>
      </w:r>
      <w:r w:rsidRPr="00AF7798">
        <w:t xml:space="preserve">t is important to note this analysis recognizes the scores of </w:t>
      </w:r>
      <w:r w:rsidR="0077275E">
        <w:t xml:space="preserve">0, </w:t>
      </w:r>
      <w:r w:rsidRPr="00AF7798">
        <w:t xml:space="preserve">1, 2, and 3 are varying degrees of </w:t>
      </w:r>
      <w:r w:rsidRPr="00AF7798">
        <w:rPr>
          <w:i/>
          <w:iCs/>
        </w:rPr>
        <w:t xml:space="preserve">qualities </w:t>
      </w:r>
      <w:r w:rsidRPr="00AF7798">
        <w:t xml:space="preserve">rather than integral </w:t>
      </w:r>
      <w:r w:rsidRPr="00AF7798">
        <w:rPr>
          <w:i/>
          <w:iCs/>
        </w:rPr>
        <w:t>quantities</w:t>
      </w:r>
      <w:r w:rsidRPr="00AF7798">
        <w:t xml:space="preserve"> of measure.  This is say that the ordinal scores of </w:t>
      </w:r>
      <w:r w:rsidR="0077275E">
        <w:t xml:space="preserve">0, </w:t>
      </w:r>
      <w:r w:rsidRPr="00AF7798">
        <w:t xml:space="preserve">1, 2, and 3 are not treated as quantities and subject to calculations of averages or mean differences </w:t>
      </w:r>
      <w:r w:rsidR="00183B99">
        <w:t>etc.,</w:t>
      </w:r>
      <w:r w:rsidR="00183B99" w:rsidRPr="00AF7798">
        <w:t xml:space="preserve"> but</w:t>
      </w:r>
      <w:r w:rsidRPr="00AF7798">
        <w:t xml:space="preserve"> rather are simply a convenient way to indicate the degree to which a person demonstrates a quality desired in the profession of teaching.  As a consequence, ordinal scores may be validity analyzed by frequency of a </w:t>
      </w:r>
      <w:r w:rsidR="00183B99">
        <w:t xml:space="preserve">given </w:t>
      </w:r>
      <w:r w:rsidRPr="00AF7798">
        <w:t>response if that response is defined in a manner that all scorers have the same understanding of Exemplary, Proficient,</w:t>
      </w:r>
      <w:r>
        <w:t xml:space="preserve"> Developing</w:t>
      </w:r>
      <w:r w:rsidRPr="00AF7798">
        <w:t xml:space="preserve"> </w:t>
      </w:r>
      <w:r>
        <w:t>and Unacceptable as defined above.</w:t>
      </w:r>
    </w:p>
    <w:p w14:paraId="12D473FE" w14:textId="77777777" w:rsidR="008B712E" w:rsidRPr="00AF7798" w:rsidRDefault="008B712E" w:rsidP="008B712E">
      <w:r w:rsidRPr="00AF7798">
        <w:t xml:space="preserve">This is a good place to note that sampling or even random sampling is not used in any of these analyzes; rather the entire population of scores for each assessment is used thereby eliminating any error of inference found in statistical analysis and allowing for parametric procedures to be used without introducing </w:t>
      </w:r>
      <w:r w:rsidR="00183B99">
        <w:t xml:space="preserve">p-values and related </w:t>
      </w:r>
      <w:r w:rsidRPr="00AF7798">
        <w:t>statistical margin</w:t>
      </w:r>
      <w:r w:rsidR="00183B99">
        <w:t>s</w:t>
      </w:r>
      <w:r w:rsidRPr="00AF7798">
        <w:t xml:space="preserve"> of error in the findings.</w:t>
      </w:r>
      <w:r w:rsidR="0077275E">
        <w:t xml:space="preserve">  Consequently, there are no minimum “sample” sizes to meet in order for the findings to be valid simply because in all cases</w:t>
      </w:r>
      <w:r w:rsidR="00183B99">
        <w:t>,</w:t>
      </w:r>
      <w:r w:rsidR="0077275E">
        <w:t xml:space="preserve"> the entire population of data is used for the calculations </w:t>
      </w:r>
      <w:r w:rsidR="00183B99">
        <w:t>and present in the</w:t>
      </w:r>
      <w:r w:rsidR="0077275E">
        <w:t xml:space="preserve"> findings.</w:t>
      </w:r>
      <w:r w:rsidR="00A61639">
        <w:t xml:space="preserve">  The result of parametric analysis is a finding</w:t>
      </w:r>
      <w:r w:rsidR="00D830E9">
        <w:t xml:space="preserve"> of</w:t>
      </w:r>
      <w:r w:rsidR="00A61639">
        <w:t xml:space="preserve"> </w:t>
      </w:r>
      <w:r w:rsidR="00A61639" w:rsidRPr="00A61639">
        <w:rPr>
          <w:i/>
        </w:rPr>
        <w:t>what is</w:t>
      </w:r>
      <w:r w:rsidR="00A61639">
        <w:t xml:space="preserve"> as contrasted </w:t>
      </w:r>
      <w:r w:rsidR="00D830E9">
        <w:t>with</w:t>
      </w:r>
      <w:r w:rsidR="00A61639">
        <w:t xml:space="preserve"> statistical analysis the findings of which are </w:t>
      </w:r>
      <w:r w:rsidR="00A61639" w:rsidRPr="00A61639">
        <w:rPr>
          <w:i/>
        </w:rPr>
        <w:t>what might be</w:t>
      </w:r>
      <w:r w:rsidR="00A61639">
        <w:t xml:space="preserve">.   </w:t>
      </w:r>
    </w:p>
    <w:p w14:paraId="7B728CD8" w14:textId="77777777" w:rsidR="00D830E9" w:rsidRDefault="00D830E9" w:rsidP="0077275E">
      <w:r>
        <w:t xml:space="preserve">Unfortunately, two administrators who typically have the major role in producing this report were not available to contribute to the development of the accreditation report.  Consequently, it was quite late in the summer before enough information was available to begin the specific components of the report.  </w:t>
      </w:r>
      <w:r w:rsidR="0001516F">
        <w:t>This was primarily a result of people who were needed to provide specific data, etc. on vacation or off contract during the summer.  If additional data is found, it will be integrated into the report.</w:t>
      </w:r>
    </w:p>
    <w:p w14:paraId="749235CC" w14:textId="77777777" w:rsidR="005F73DA" w:rsidRDefault="0077275E" w:rsidP="0077275E">
      <w:r>
        <w:t>Finally, some data were recorded in the</w:t>
      </w:r>
      <w:r w:rsidR="00183B99">
        <w:t xml:space="preserve"> pre-2011 INTASC format.</w:t>
      </w:r>
      <w:r w:rsidR="00A61639">
        <w:t xml:space="preserve">  These standards are </w:t>
      </w:r>
      <w:r>
        <w:t>denoted in the</w:t>
      </w:r>
      <w:r w:rsidR="00A61639">
        <w:t xml:space="preserve"> </w:t>
      </w:r>
      <w:r w:rsidR="003A284F">
        <w:t>Division</w:t>
      </w:r>
      <w:r w:rsidR="00A61639">
        <w:t>’s</w:t>
      </w:r>
      <w:r>
        <w:t xml:space="preserve"> database as</w:t>
      </w:r>
      <w:r w:rsidR="005F73DA">
        <w:t>, for example,</w:t>
      </w:r>
      <w:r>
        <w:t xml:space="preserve"> TEP 2.5 (</w:t>
      </w:r>
      <w:r w:rsidR="00F67133">
        <w:t>Stage II</w:t>
      </w:r>
      <w:r w:rsidR="005F73DA">
        <w:t xml:space="preserve">.INTASC Standard 5); </w:t>
      </w:r>
      <w:r w:rsidR="00A61639">
        <w:t>subsequently</w:t>
      </w:r>
      <w:r w:rsidR="005F73DA">
        <w:t xml:space="preserve"> TEP 2.5 was aligned</w:t>
      </w:r>
      <w:r w:rsidR="00030F5D">
        <w:t xml:space="preserve"> and recoded</w:t>
      </w:r>
      <w:r w:rsidR="005F73DA">
        <w:t xml:space="preserve"> to RTEP 2.3 (Revised TEP </w:t>
      </w:r>
      <w:r w:rsidR="00F67133">
        <w:t>Stage II</w:t>
      </w:r>
      <w:r w:rsidR="005F73DA">
        <w:t xml:space="preserve"> InTASC 3. </w:t>
      </w:r>
      <w:r w:rsidR="00A61639">
        <w:t xml:space="preserve"> All references and calculations involving InTASC Standards in this report are always in the</w:t>
      </w:r>
      <w:r w:rsidR="00030F5D">
        <w:t xml:space="preserve"> post</w:t>
      </w:r>
      <w:r w:rsidR="00A61639">
        <w:t xml:space="preserve"> 2011 InTASC format</w:t>
      </w:r>
      <w:r w:rsidR="00030F5D">
        <w:t xml:space="preserve"> and order</w:t>
      </w:r>
      <w:r w:rsidR="00A61639">
        <w:t xml:space="preserve">.  </w:t>
      </w:r>
      <w:r w:rsidR="005F73DA">
        <w:t xml:space="preserve">  </w:t>
      </w:r>
    </w:p>
    <w:p w14:paraId="2826D2B7" w14:textId="77777777" w:rsidR="00A61639" w:rsidRDefault="00A61639" w:rsidP="00EF1A55">
      <w:pPr>
        <w:pStyle w:val="Heading1"/>
      </w:pPr>
      <w:bookmarkStart w:id="13" w:name="_Toc493221885"/>
      <w:r>
        <w:t xml:space="preserve">Analysis of </w:t>
      </w:r>
      <w:r w:rsidR="0001516F">
        <w:t>Division of Education</w:t>
      </w:r>
      <w:r>
        <w:t xml:space="preserve"> Data</w:t>
      </w:r>
      <w:bookmarkEnd w:id="13"/>
    </w:p>
    <w:p w14:paraId="746E76D7" w14:textId="77777777" w:rsidR="005A50DE" w:rsidRPr="00654C9A" w:rsidRDefault="00C71759" w:rsidP="002910B0">
      <w:pPr>
        <w:pStyle w:val="Heading2"/>
      </w:pPr>
      <w:bookmarkStart w:id="14" w:name="_Toc493221886"/>
      <w:r>
        <w:t xml:space="preserve">Analysis of </w:t>
      </w:r>
      <w:r w:rsidR="005A50DE" w:rsidRPr="00654C9A">
        <w:t xml:space="preserve">InTASC/501 </w:t>
      </w:r>
      <w:r w:rsidR="00030F5D">
        <w:t>t</w:t>
      </w:r>
      <w:r w:rsidR="005A50DE" w:rsidRPr="00654C9A">
        <w:t xml:space="preserve">eaching </w:t>
      </w:r>
      <w:r w:rsidR="00030F5D">
        <w:t>s</w:t>
      </w:r>
      <w:r w:rsidR="005A50DE" w:rsidRPr="00654C9A">
        <w:t>tandards</w:t>
      </w:r>
      <w:r w:rsidR="00030F5D">
        <w:t>.</w:t>
      </w:r>
      <w:bookmarkEnd w:id="14"/>
    </w:p>
    <w:p w14:paraId="4CD2176E" w14:textId="77777777" w:rsidR="005A50DE" w:rsidRDefault="005A50DE" w:rsidP="005A50DE">
      <w:r w:rsidRPr="00AF7798">
        <w:t>Fidelity to the 10 InTASC</w:t>
      </w:r>
      <w:r>
        <w:t xml:space="preserve">/11 Montana Teaching </w:t>
      </w:r>
      <w:r w:rsidR="00F73BC8">
        <w:t xml:space="preserve">501 </w:t>
      </w:r>
      <w:r>
        <w:t>S</w:t>
      </w:r>
      <w:r w:rsidRPr="00AF7798">
        <w:t>tandards was calculated using 3,0</w:t>
      </w:r>
      <w:r w:rsidR="00F73BC8">
        <w:t>15</w:t>
      </w:r>
      <w:r w:rsidRPr="00AF7798">
        <w:t xml:space="preserve"> data points</w:t>
      </w:r>
      <w:r>
        <w:t xml:space="preserve"> </w:t>
      </w:r>
      <w:r w:rsidRPr="00AF7798">
        <w:t xml:space="preserve">administered and collected by the SKC Division of Education from 2014 to 2017 school years.  </w:t>
      </w:r>
      <w:r>
        <w:t xml:space="preserve">As noted, </w:t>
      </w:r>
      <w:r w:rsidRPr="00AF7798">
        <w:t xml:space="preserve">INTASC Standards were reordered according to the 2011 InTASC format and all standards reported herein reference the </w:t>
      </w:r>
      <w:r w:rsidR="00702927">
        <w:t xml:space="preserve">2011 </w:t>
      </w:r>
      <w:r w:rsidRPr="00AF7798">
        <w:t xml:space="preserve">InTASC Standards.  Unacceptable scores in this particular analysis </w:t>
      </w:r>
      <w:r w:rsidR="0001516F">
        <w:t xml:space="preserve">were very uncommon and </w:t>
      </w:r>
      <w:r w:rsidRPr="00AF7798">
        <w:t xml:space="preserve">do not provide the same information </w:t>
      </w:r>
      <w:r w:rsidR="00702927">
        <w:t xml:space="preserve">of </w:t>
      </w:r>
      <w:r w:rsidRPr="00AF7798">
        <w:t xml:space="preserve">the other three scores and so were not included in the analysis. Therefore the data utilized for the InTASC and Montana Teaching Standards, 10.50.501 MCA is </w:t>
      </w:r>
      <w:r w:rsidR="0080679F">
        <w:t>de</w:t>
      </w:r>
      <w:r w:rsidRPr="00AF7798">
        <w:t xml:space="preserve">limited to the scores of those students who registered a non-zero score on at least one of the assessment indicators.  </w:t>
      </w:r>
    </w:p>
    <w:p w14:paraId="32D9C495" w14:textId="77777777" w:rsidR="0001516F" w:rsidRDefault="005A50DE" w:rsidP="005A50DE">
      <w:r w:rsidRPr="00AF7798">
        <w:t>A</w:t>
      </w:r>
      <w:r w:rsidR="0001516F">
        <w:t>gain</w:t>
      </w:r>
      <w:r w:rsidRPr="00AF7798">
        <w:t xml:space="preserve"> it is important to note this analysis recognizes the scores of 1, 2, and 3 are varying degrees of various </w:t>
      </w:r>
      <w:r w:rsidRPr="00AF7798">
        <w:rPr>
          <w:i/>
          <w:iCs/>
        </w:rPr>
        <w:t xml:space="preserve">qualities </w:t>
      </w:r>
      <w:r w:rsidRPr="00AF7798">
        <w:t xml:space="preserve">rather than integral </w:t>
      </w:r>
      <w:r w:rsidRPr="00AF7798">
        <w:rPr>
          <w:i/>
          <w:iCs/>
        </w:rPr>
        <w:t>quantities</w:t>
      </w:r>
      <w:r w:rsidRPr="00AF7798">
        <w:t xml:space="preserve"> of measures.  </w:t>
      </w:r>
      <w:r w:rsidR="0001516F">
        <w:t xml:space="preserve">Often the scoring appears to be numeric </w:t>
      </w:r>
      <w:r w:rsidR="0001516F">
        <w:lastRenderedPageBreak/>
        <w:t xml:space="preserve">because of the use of integers such a 1,2, and 3 </w:t>
      </w:r>
      <w:r w:rsidR="008E5E0C">
        <w:t xml:space="preserve">to signify each quality of scoring </w:t>
      </w:r>
      <w:r w:rsidR="0001516F">
        <w:t xml:space="preserve">and </w:t>
      </w:r>
      <w:r w:rsidR="008E5E0C">
        <w:t xml:space="preserve">unfortunately often </w:t>
      </w:r>
      <w:r w:rsidR="0001516F">
        <w:t>used to produce averages such as 2.3.</w:t>
      </w:r>
    </w:p>
    <w:p w14:paraId="67575800" w14:textId="77777777" w:rsidR="005A50DE" w:rsidRDefault="0001516F" w:rsidP="005A50DE">
      <w:r>
        <w:t>However, levels of quality cannot be averaged</w:t>
      </w:r>
      <w:r w:rsidR="003978AF">
        <w:t xml:space="preserve"> even if coded with what appears to be numbers </w:t>
      </w:r>
      <w:r w:rsidR="00391DD7">
        <w:t>a</w:t>
      </w:r>
      <w:r>
        <w:t xml:space="preserve">nd an average of 2.3 does not reveal anything substantial about the data that produced </w:t>
      </w:r>
      <w:r w:rsidR="003978AF">
        <w:t xml:space="preserve">such an average.  </w:t>
      </w:r>
      <w:r w:rsidR="00C71759">
        <w:t xml:space="preserve"> </w:t>
      </w:r>
      <w:r w:rsidR="005A50DE" w:rsidRPr="00AF7798">
        <w:t xml:space="preserve">As a consequence, ordinal scores may be validity analyzed by frequency of a response if that response is defined in a manner that all scorers have the same understanding of Exemplary, Proficient, </w:t>
      </w:r>
      <w:r w:rsidR="003978AF">
        <w:t xml:space="preserve">Developing </w:t>
      </w:r>
      <w:r w:rsidR="005A50DE">
        <w:t>and Unacceptable.</w:t>
      </w:r>
    </w:p>
    <w:p w14:paraId="1CD7E9F8" w14:textId="77777777" w:rsidR="00E03996" w:rsidRDefault="00CA160D" w:rsidP="00E755E4">
      <w:pPr>
        <w:pStyle w:val="Heading3"/>
      </w:pPr>
      <w:r>
        <w:t xml:space="preserve">      </w:t>
      </w:r>
      <w:bookmarkStart w:id="15" w:name="_Toc493221887"/>
      <w:r w:rsidR="00E03996">
        <w:t xml:space="preserve">Distribution of TEP assessments as per InTASC </w:t>
      </w:r>
      <w:r>
        <w:t>s</w:t>
      </w:r>
      <w:r w:rsidR="00E03996">
        <w:t>tandards by stage</w:t>
      </w:r>
      <w:r>
        <w:t>.</w:t>
      </w:r>
      <w:bookmarkEnd w:id="15"/>
    </w:p>
    <w:p w14:paraId="22378D23" w14:textId="77777777" w:rsidR="006F1120" w:rsidRPr="00AF7798" w:rsidRDefault="006F1120" w:rsidP="005A50DE">
      <w:r>
        <w:t>The first table introduced to analyze the goodness of fit of the TEP assessments with the InTASC Standards is presented below in Table 1.</w:t>
      </w:r>
    </w:p>
    <w:tbl>
      <w:tblPr>
        <w:tblW w:w="9141" w:type="dxa"/>
        <w:tblInd w:w="93" w:type="dxa"/>
        <w:tblLook w:val="04A0" w:firstRow="1" w:lastRow="0" w:firstColumn="1" w:lastColumn="0" w:noHBand="0" w:noVBand="1"/>
      </w:tblPr>
      <w:tblGrid>
        <w:gridCol w:w="2121"/>
        <w:gridCol w:w="3111"/>
        <w:gridCol w:w="1303"/>
        <w:gridCol w:w="1303"/>
        <w:gridCol w:w="1303"/>
      </w:tblGrid>
      <w:tr w:rsidR="0080679F" w:rsidRPr="0080679F" w14:paraId="30862E17" w14:textId="77777777" w:rsidTr="0080679F">
        <w:trPr>
          <w:trHeight w:val="315"/>
        </w:trPr>
        <w:tc>
          <w:tcPr>
            <w:tcW w:w="9141" w:type="dxa"/>
            <w:gridSpan w:val="5"/>
            <w:vMerge w:val="restart"/>
            <w:tcBorders>
              <w:top w:val="single" w:sz="4" w:space="0" w:color="auto"/>
              <w:left w:val="nil"/>
              <w:bottom w:val="single" w:sz="4" w:space="0" w:color="000000"/>
              <w:right w:val="nil"/>
            </w:tcBorders>
            <w:shd w:val="clear" w:color="auto" w:fill="auto"/>
            <w:noWrap/>
            <w:vAlign w:val="center"/>
            <w:hideMark/>
          </w:tcPr>
          <w:p w14:paraId="482E3A7A" w14:textId="77777777" w:rsidR="0080679F" w:rsidRPr="0080679F" w:rsidRDefault="002F5554" w:rsidP="00290AD3">
            <w:pPr>
              <w:spacing w:after="0" w:line="240" w:lineRule="auto"/>
              <w:jc w:val="center"/>
              <w:rPr>
                <w:rFonts w:eastAsia="Times New Roman"/>
                <w:b/>
                <w:bCs/>
                <w:color w:val="000000"/>
                <w:sz w:val="26"/>
                <w:szCs w:val="26"/>
              </w:rPr>
            </w:pPr>
            <w:bookmarkStart w:id="16" w:name="_Toc492828023"/>
            <w:r w:rsidRPr="002F5554">
              <w:rPr>
                <w:b/>
              </w:rPr>
              <w:t xml:space="preserve">Table </w:t>
            </w:r>
            <w:r w:rsidRPr="002F5554">
              <w:rPr>
                <w:b/>
              </w:rPr>
              <w:fldChar w:fldCharType="begin"/>
            </w:r>
            <w:r w:rsidRPr="002F5554">
              <w:rPr>
                <w:b/>
              </w:rPr>
              <w:instrText xml:space="preserve"> SEQ Table \* ARABIC </w:instrText>
            </w:r>
            <w:r w:rsidRPr="002F5554">
              <w:rPr>
                <w:b/>
              </w:rPr>
              <w:fldChar w:fldCharType="separate"/>
            </w:r>
            <w:r w:rsidR="0010294F">
              <w:rPr>
                <w:b/>
                <w:noProof/>
              </w:rPr>
              <w:t>1</w:t>
            </w:r>
            <w:r w:rsidRPr="002F5554">
              <w:rPr>
                <w:b/>
              </w:rPr>
              <w:fldChar w:fldCharType="end"/>
            </w:r>
            <w:r w:rsidRPr="002F5554">
              <w:rPr>
                <w:b/>
              </w:rPr>
              <w:t xml:space="preserve"> </w:t>
            </w:r>
            <w:r w:rsidR="0080679F" w:rsidRPr="002F5554">
              <w:rPr>
                <w:rFonts w:eastAsia="Times New Roman"/>
                <w:b/>
                <w:bCs/>
                <w:color w:val="000000"/>
                <w:szCs w:val="26"/>
              </w:rPr>
              <w:t>:</w:t>
            </w:r>
            <w:r w:rsidR="0080679F" w:rsidRPr="0080679F">
              <w:rPr>
                <w:rFonts w:eastAsia="Times New Roman"/>
                <w:b/>
                <w:bCs/>
                <w:color w:val="000000"/>
                <w:szCs w:val="26"/>
              </w:rPr>
              <w:t xml:space="preserve"> 1 InTASC Standards by Number of Assessments and Stage</w:t>
            </w:r>
            <w:bookmarkEnd w:id="16"/>
          </w:p>
        </w:tc>
      </w:tr>
      <w:tr w:rsidR="0080679F" w:rsidRPr="0080679F" w14:paraId="570544EC" w14:textId="77777777" w:rsidTr="0080679F">
        <w:trPr>
          <w:trHeight w:val="379"/>
        </w:trPr>
        <w:tc>
          <w:tcPr>
            <w:tcW w:w="9141" w:type="dxa"/>
            <w:gridSpan w:val="5"/>
            <w:vMerge/>
            <w:tcBorders>
              <w:top w:val="single" w:sz="4" w:space="0" w:color="auto"/>
              <w:left w:val="nil"/>
              <w:bottom w:val="single" w:sz="4" w:space="0" w:color="000000"/>
              <w:right w:val="nil"/>
            </w:tcBorders>
            <w:vAlign w:val="center"/>
            <w:hideMark/>
          </w:tcPr>
          <w:p w14:paraId="26A3050B" w14:textId="77777777" w:rsidR="0080679F" w:rsidRPr="0080679F" w:rsidRDefault="0080679F" w:rsidP="0080679F">
            <w:pPr>
              <w:spacing w:after="0" w:line="240" w:lineRule="auto"/>
              <w:rPr>
                <w:rFonts w:eastAsia="Times New Roman"/>
                <w:b/>
                <w:bCs/>
                <w:color w:val="000000"/>
                <w:sz w:val="26"/>
                <w:szCs w:val="26"/>
              </w:rPr>
            </w:pPr>
          </w:p>
        </w:tc>
      </w:tr>
      <w:tr w:rsidR="0080679F" w:rsidRPr="0080679F" w14:paraId="2B8EFD17" w14:textId="77777777" w:rsidTr="0080679F">
        <w:trPr>
          <w:trHeight w:val="300"/>
        </w:trPr>
        <w:tc>
          <w:tcPr>
            <w:tcW w:w="2121" w:type="dxa"/>
            <w:tcBorders>
              <w:top w:val="nil"/>
              <w:left w:val="nil"/>
              <w:bottom w:val="nil"/>
              <w:right w:val="nil"/>
            </w:tcBorders>
            <w:shd w:val="clear" w:color="auto" w:fill="auto"/>
            <w:noWrap/>
            <w:vAlign w:val="bottom"/>
            <w:hideMark/>
          </w:tcPr>
          <w:p w14:paraId="0031E7FB" w14:textId="77777777" w:rsidR="0080679F" w:rsidRPr="0080679F" w:rsidRDefault="0080679F" w:rsidP="0080679F">
            <w:pPr>
              <w:spacing w:after="0" w:line="240" w:lineRule="auto"/>
              <w:jc w:val="center"/>
              <w:rPr>
                <w:rFonts w:eastAsia="Times New Roman"/>
                <w:b/>
                <w:bCs/>
                <w:color w:val="000000"/>
                <w:sz w:val="22"/>
              </w:rPr>
            </w:pPr>
          </w:p>
        </w:tc>
        <w:tc>
          <w:tcPr>
            <w:tcW w:w="3111" w:type="dxa"/>
            <w:tcBorders>
              <w:top w:val="nil"/>
              <w:left w:val="nil"/>
              <w:bottom w:val="nil"/>
              <w:right w:val="nil"/>
            </w:tcBorders>
            <w:shd w:val="clear" w:color="auto" w:fill="auto"/>
            <w:noWrap/>
            <w:vAlign w:val="bottom"/>
            <w:hideMark/>
          </w:tcPr>
          <w:p w14:paraId="159D3E49" w14:textId="77777777" w:rsidR="0080679F" w:rsidRPr="0080679F" w:rsidRDefault="0080679F" w:rsidP="00E03996">
            <w:pPr>
              <w:spacing w:after="0" w:line="240" w:lineRule="auto"/>
              <w:jc w:val="center"/>
              <w:rPr>
                <w:rFonts w:eastAsia="Times New Roman"/>
                <w:b/>
                <w:bCs/>
                <w:color w:val="000000"/>
                <w:sz w:val="22"/>
              </w:rPr>
            </w:pPr>
            <w:r w:rsidRPr="0080679F">
              <w:rPr>
                <w:rFonts w:eastAsia="Times New Roman"/>
                <w:b/>
                <w:bCs/>
                <w:color w:val="000000"/>
                <w:sz w:val="22"/>
              </w:rPr>
              <w:t xml:space="preserve">Number of </w:t>
            </w:r>
            <w:r w:rsidR="00E03996">
              <w:rPr>
                <w:rFonts w:eastAsia="Times New Roman"/>
                <w:b/>
                <w:bCs/>
                <w:color w:val="000000"/>
                <w:sz w:val="22"/>
              </w:rPr>
              <w:t>T</w:t>
            </w:r>
            <w:r w:rsidRPr="0080679F">
              <w:rPr>
                <w:rFonts w:eastAsia="Times New Roman"/>
                <w:b/>
                <w:bCs/>
                <w:color w:val="000000"/>
                <w:sz w:val="22"/>
              </w:rPr>
              <w:t>EP</w:t>
            </w:r>
          </w:p>
        </w:tc>
        <w:tc>
          <w:tcPr>
            <w:tcW w:w="1303" w:type="dxa"/>
            <w:tcBorders>
              <w:top w:val="nil"/>
              <w:left w:val="nil"/>
              <w:bottom w:val="nil"/>
              <w:right w:val="nil"/>
            </w:tcBorders>
            <w:shd w:val="clear" w:color="auto" w:fill="auto"/>
            <w:noWrap/>
            <w:vAlign w:val="bottom"/>
            <w:hideMark/>
          </w:tcPr>
          <w:p w14:paraId="4C6B2F8A" w14:textId="77777777" w:rsidR="0080679F" w:rsidRPr="0080679F" w:rsidRDefault="0080679F" w:rsidP="0080679F">
            <w:pPr>
              <w:spacing w:after="0" w:line="240" w:lineRule="auto"/>
              <w:rPr>
                <w:rFonts w:eastAsia="Times New Roman"/>
                <w:color w:val="000000"/>
                <w:sz w:val="22"/>
              </w:rPr>
            </w:pPr>
          </w:p>
        </w:tc>
        <w:tc>
          <w:tcPr>
            <w:tcW w:w="1303" w:type="dxa"/>
            <w:tcBorders>
              <w:top w:val="nil"/>
              <w:left w:val="nil"/>
              <w:bottom w:val="nil"/>
              <w:right w:val="nil"/>
            </w:tcBorders>
            <w:shd w:val="clear" w:color="auto" w:fill="auto"/>
            <w:noWrap/>
            <w:vAlign w:val="bottom"/>
            <w:hideMark/>
          </w:tcPr>
          <w:p w14:paraId="470BB21B" w14:textId="77777777" w:rsidR="0080679F" w:rsidRPr="0080679F" w:rsidRDefault="0080679F" w:rsidP="0080679F">
            <w:pPr>
              <w:spacing w:after="0" w:line="240" w:lineRule="auto"/>
              <w:rPr>
                <w:rFonts w:eastAsia="Times New Roman"/>
                <w:color w:val="000000"/>
                <w:sz w:val="22"/>
              </w:rPr>
            </w:pPr>
          </w:p>
        </w:tc>
        <w:tc>
          <w:tcPr>
            <w:tcW w:w="1303" w:type="dxa"/>
            <w:tcBorders>
              <w:top w:val="nil"/>
              <w:left w:val="nil"/>
              <w:bottom w:val="nil"/>
              <w:right w:val="nil"/>
            </w:tcBorders>
            <w:shd w:val="clear" w:color="auto" w:fill="auto"/>
            <w:noWrap/>
            <w:vAlign w:val="bottom"/>
            <w:hideMark/>
          </w:tcPr>
          <w:p w14:paraId="26BC9438" w14:textId="77777777" w:rsidR="0080679F" w:rsidRPr="0080679F" w:rsidRDefault="0080679F" w:rsidP="0080679F">
            <w:pPr>
              <w:spacing w:after="0" w:line="240" w:lineRule="auto"/>
              <w:rPr>
                <w:rFonts w:eastAsia="Times New Roman"/>
                <w:color w:val="000000"/>
                <w:sz w:val="22"/>
              </w:rPr>
            </w:pPr>
          </w:p>
        </w:tc>
      </w:tr>
      <w:tr w:rsidR="0080679F" w:rsidRPr="0080679F" w14:paraId="03786456" w14:textId="77777777" w:rsidTr="0080679F">
        <w:trPr>
          <w:trHeight w:val="300"/>
        </w:trPr>
        <w:tc>
          <w:tcPr>
            <w:tcW w:w="2121" w:type="dxa"/>
            <w:tcBorders>
              <w:top w:val="nil"/>
              <w:left w:val="nil"/>
              <w:bottom w:val="nil"/>
              <w:right w:val="nil"/>
            </w:tcBorders>
            <w:shd w:val="clear" w:color="auto" w:fill="auto"/>
            <w:noWrap/>
            <w:vAlign w:val="bottom"/>
            <w:hideMark/>
          </w:tcPr>
          <w:p w14:paraId="27901F8B" w14:textId="77777777" w:rsidR="0080679F" w:rsidRPr="0080679F" w:rsidRDefault="0080679F" w:rsidP="0080679F">
            <w:pPr>
              <w:spacing w:after="0" w:line="240" w:lineRule="auto"/>
              <w:jc w:val="center"/>
              <w:rPr>
                <w:rFonts w:eastAsia="Times New Roman"/>
                <w:b/>
                <w:bCs/>
                <w:color w:val="000000"/>
                <w:sz w:val="22"/>
              </w:rPr>
            </w:pPr>
            <w:r w:rsidRPr="0080679F">
              <w:rPr>
                <w:rFonts w:eastAsia="Times New Roman"/>
                <w:b/>
                <w:bCs/>
                <w:color w:val="000000"/>
                <w:sz w:val="22"/>
              </w:rPr>
              <w:t>Standard</w:t>
            </w:r>
          </w:p>
        </w:tc>
        <w:tc>
          <w:tcPr>
            <w:tcW w:w="3111" w:type="dxa"/>
            <w:tcBorders>
              <w:top w:val="nil"/>
              <w:left w:val="nil"/>
              <w:bottom w:val="nil"/>
              <w:right w:val="nil"/>
            </w:tcBorders>
            <w:shd w:val="clear" w:color="auto" w:fill="auto"/>
            <w:noWrap/>
            <w:vAlign w:val="bottom"/>
            <w:hideMark/>
          </w:tcPr>
          <w:p w14:paraId="5F16D636" w14:textId="77777777" w:rsidR="0080679F" w:rsidRPr="0080679F" w:rsidRDefault="0080679F" w:rsidP="0080679F">
            <w:pPr>
              <w:spacing w:after="0" w:line="240" w:lineRule="auto"/>
              <w:jc w:val="center"/>
              <w:rPr>
                <w:rFonts w:eastAsia="Times New Roman"/>
                <w:b/>
                <w:bCs/>
                <w:color w:val="000000"/>
                <w:sz w:val="22"/>
              </w:rPr>
            </w:pPr>
            <w:r w:rsidRPr="0080679F">
              <w:rPr>
                <w:rFonts w:eastAsia="Times New Roman"/>
                <w:b/>
                <w:bCs/>
                <w:color w:val="000000"/>
                <w:sz w:val="22"/>
              </w:rPr>
              <w:t>Assessments</w:t>
            </w:r>
          </w:p>
        </w:tc>
        <w:tc>
          <w:tcPr>
            <w:tcW w:w="1303" w:type="dxa"/>
            <w:tcBorders>
              <w:top w:val="nil"/>
              <w:left w:val="nil"/>
              <w:bottom w:val="nil"/>
              <w:right w:val="nil"/>
            </w:tcBorders>
            <w:shd w:val="clear" w:color="auto" w:fill="auto"/>
            <w:noWrap/>
            <w:vAlign w:val="bottom"/>
            <w:hideMark/>
          </w:tcPr>
          <w:p w14:paraId="0A24B0BC" w14:textId="77777777" w:rsidR="0080679F" w:rsidRPr="0080679F" w:rsidRDefault="00F67133" w:rsidP="0080679F">
            <w:pPr>
              <w:spacing w:after="0" w:line="240" w:lineRule="auto"/>
              <w:jc w:val="center"/>
              <w:rPr>
                <w:rFonts w:eastAsia="Times New Roman"/>
                <w:b/>
                <w:bCs/>
                <w:color w:val="000000"/>
                <w:sz w:val="22"/>
              </w:rPr>
            </w:pPr>
            <w:r>
              <w:rPr>
                <w:rFonts w:eastAsia="Times New Roman"/>
                <w:b/>
                <w:bCs/>
                <w:color w:val="000000"/>
                <w:sz w:val="22"/>
              </w:rPr>
              <w:t>Stage I</w:t>
            </w:r>
          </w:p>
        </w:tc>
        <w:tc>
          <w:tcPr>
            <w:tcW w:w="1303" w:type="dxa"/>
            <w:tcBorders>
              <w:top w:val="nil"/>
              <w:left w:val="nil"/>
              <w:bottom w:val="nil"/>
              <w:right w:val="nil"/>
            </w:tcBorders>
            <w:shd w:val="clear" w:color="auto" w:fill="auto"/>
            <w:noWrap/>
            <w:vAlign w:val="bottom"/>
            <w:hideMark/>
          </w:tcPr>
          <w:p w14:paraId="3C9CCAFA" w14:textId="77777777" w:rsidR="0080679F" w:rsidRPr="0080679F" w:rsidRDefault="00F67133" w:rsidP="0080679F">
            <w:pPr>
              <w:spacing w:after="0" w:line="240" w:lineRule="auto"/>
              <w:jc w:val="center"/>
              <w:rPr>
                <w:rFonts w:eastAsia="Times New Roman"/>
                <w:b/>
                <w:bCs/>
                <w:color w:val="000000"/>
                <w:sz w:val="22"/>
              </w:rPr>
            </w:pPr>
            <w:r>
              <w:rPr>
                <w:rFonts w:eastAsia="Times New Roman"/>
                <w:b/>
                <w:bCs/>
                <w:color w:val="000000"/>
                <w:sz w:val="22"/>
              </w:rPr>
              <w:t>Stage II</w:t>
            </w:r>
          </w:p>
        </w:tc>
        <w:tc>
          <w:tcPr>
            <w:tcW w:w="1303" w:type="dxa"/>
            <w:tcBorders>
              <w:top w:val="nil"/>
              <w:left w:val="nil"/>
              <w:bottom w:val="nil"/>
              <w:right w:val="nil"/>
            </w:tcBorders>
            <w:shd w:val="clear" w:color="auto" w:fill="auto"/>
            <w:noWrap/>
            <w:vAlign w:val="bottom"/>
            <w:hideMark/>
          </w:tcPr>
          <w:p w14:paraId="6623B8E0" w14:textId="77777777" w:rsidR="0080679F" w:rsidRPr="0080679F" w:rsidRDefault="00F67133" w:rsidP="0080679F">
            <w:pPr>
              <w:spacing w:after="0" w:line="240" w:lineRule="auto"/>
              <w:jc w:val="center"/>
              <w:rPr>
                <w:rFonts w:eastAsia="Times New Roman"/>
                <w:b/>
                <w:bCs/>
                <w:color w:val="000000"/>
                <w:sz w:val="22"/>
              </w:rPr>
            </w:pPr>
            <w:r>
              <w:rPr>
                <w:rFonts w:eastAsia="Times New Roman"/>
                <w:b/>
                <w:bCs/>
                <w:color w:val="000000"/>
                <w:sz w:val="22"/>
              </w:rPr>
              <w:t>Stage III</w:t>
            </w:r>
          </w:p>
        </w:tc>
      </w:tr>
      <w:tr w:rsidR="0080679F" w:rsidRPr="0080679F" w14:paraId="5721E0D1" w14:textId="77777777" w:rsidTr="0080679F">
        <w:trPr>
          <w:trHeight w:val="300"/>
        </w:trPr>
        <w:tc>
          <w:tcPr>
            <w:tcW w:w="2121" w:type="dxa"/>
            <w:tcBorders>
              <w:top w:val="single" w:sz="4" w:space="0" w:color="auto"/>
              <w:left w:val="nil"/>
              <w:bottom w:val="nil"/>
              <w:right w:val="nil"/>
            </w:tcBorders>
            <w:shd w:val="clear" w:color="auto" w:fill="auto"/>
            <w:noWrap/>
            <w:vAlign w:val="bottom"/>
            <w:hideMark/>
          </w:tcPr>
          <w:p w14:paraId="3CADED7E" w14:textId="77777777" w:rsidR="0080679F" w:rsidRPr="004D30F3" w:rsidRDefault="0080679F" w:rsidP="0080679F">
            <w:pPr>
              <w:spacing w:after="0" w:line="240" w:lineRule="auto"/>
              <w:jc w:val="center"/>
              <w:rPr>
                <w:rFonts w:eastAsia="Times New Roman"/>
                <w:b/>
                <w:color w:val="000000"/>
                <w:sz w:val="22"/>
              </w:rPr>
            </w:pPr>
            <w:r w:rsidRPr="004D30F3">
              <w:rPr>
                <w:rFonts w:eastAsia="Times New Roman"/>
                <w:b/>
                <w:color w:val="000000"/>
                <w:sz w:val="22"/>
              </w:rPr>
              <w:t>InTASC 1</w:t>
            </w:r>
          </w:p>
        </w:tc>
        <w:tc>
          <w:tcPr>
            <w:tcW w:w="3111" w:type="dxa"/>
            <w:tcBorders>
              <w:top w:val="single" w:sz="4" w:space="0" w:color="auto"/>
              <w:left w:val="nil"/>
              <w:bottom w:val="nil"/>
              <w:right w:val="nil"/>
            </w:tcBorders>
            <w:shd w:val="clear" w:color="auto" w:fill="auto"/>
            <w:noWrap/>
            <w:vAlign w:val="bottom"/>
            <w:hideMark/>
          </w:tcPr>
          <w:p w14:paraId="777CC1BA"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11</w:t>
            </w:r>
          </w:p>
        </w:tc>
        <w:tc>
          <w:tcPr>
            <w:tcW w:w="1303" w:type="dxa"/>
            <w:tcBorders>
              <w:top w:val="single" w:sz="4" w:space="0" w:color="auto"/>
              <w:left w:val="nil"/>
              <w:bottom w:val="nil"/>
              <w:right w:val="nil"/>
            </w:tcBorders>
            <w:shd w:val="clear" w:color="auto" w:fill="auto"/>
            <w:noWrap/>
            <w:vAlign w:val="bottom"/>
            <w:hideMark/>
          </w:tcPr>
          <w:p w14:paraId="0820FD4D"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4</w:t>
            </w:r>
          </w:p>
        </w:tc>
        <w:tc>
          <w:tcPr>
            <w:tcW w:w="1303" w:type="dxa"/>
            <w:tcBorders>
              <w:top w:val="single" w:sz="4" w:space="0" w:color="auto"/>
              <w:left w:val="nil"/>
              <w:bottom w:val="nil"/>
              <w:right w:val="nil"/>
            </w:tcBorders>
            <w:shd w:val="clear" w:color="auto" w:fill="auto"/>
            <w:noWrap/>
            <w:vAlign w:val="bottom"/>
            <w:hideMark/>
          </w:tcPr>
          <w:p w14:paraId="74A228D8"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3</w:t>
            </w:r>
          </w:p>
        </w:tc>
        <w:tc>
          <w:tcPr>
            <w:tcW w:w="1303" w:type="dxa"/>
            <w:tcBorders>
              <w:top w:val="single" w:sz="4" w:space="0" w:color="auto"/>
              <w:left w:val="nil"/>
              <w:bottom w:val="nil"/>
              <w:right w:val="nil"/>
            </w:tcBorders>
            <w:shd w:val="clear" w:color="auto" w:fill="auto"/>
            <w:noWrap/>
            <w:vAlign w:val="bottom"/>
            <w:hideMark/>
          </w:tcPr>
          <w:p w14:paraId="0C05D750"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4</w:t>
            </w:r>
          </w:p>
        </w:tc>
      </w:tr>
      <w:tr w:rsidR="0080679F" w:rsidRPr="0080679F" w14:paraId="65373496" w14:textId="77777777" w:rsidTr="0080679F">
        <w:trPr>
          <w:trHeight w:val="300"/>
        </w:trPr>
        <w:tc>
          <w:tcPr>
            <w:tcW w:w="2121" w:type="dxa"/>
            <w:tcBorders>
              <w:top w:val="nil"/>
              <w:left w:val="nil"/>
              <w:bottom w:val="nil"/>
              <w:right w:val="nil"/>
            </w:tcBorders>
            <w:shd w:val="clear" w:color="auto" w:fill="auto"/>
            <w:noWrap/>
            <w:vAlign w:val="bottom"/>
            <w:hideMark/>
          </w:tcPr>
          <w:p w14:paraId="49BA9A13" w14:textId="77777777" w:rsidR="0080679F" w:rsidRPr="004D30F3" w:rsidRDefault="0080679F" w:rsidP="0080679F">
            <w:pPr>
              <w:spacing w:after="0" w:line="240" w:lineRule="auto"/>
              <w:jc w:val="center"/>
              <w:rPr>
                <w:rFonts w:eastAsia="Times New Roman"/>
                <w:b/>
                <w:color w:val="000000"/>
                <w:sz w:val="22"/>
              </w:rPr>
            </w:pPr>
            <w:r w:rsidRPr="004D30F3">
              <w:rPr>
                <w:rFonts w:eastAsia="Times New Roman"/>
                <w:b/>
                <w:color w:val="000000"/>
                <w:sz w:val="22"/>
              </w:rPr>
              <w:t>InTASC 2</w:t>
            </w:r>
          </w:p>
        </w:tc>
        <w:tc>
          <w:tcPr>
            <w:tcW w:w="3111" w:type="dxa"/>
            <w:tcBorders>
              <w:top w:val="nil"/>
              <w:left w:val="nil"/>
              <w:bottom w:val="nil"/>
              <w:right w:val="nil"/>
            </w:tcBorders>
            <w:shd w:val="clear" w:color="auto" w:fill="auto"/>
            <w:noWrap/>
            <w:vAlign w:val="bottom"/>
            <w:hideMark/>
          </w:tcPr>
          <w:p w14:paraId="16B5B72D"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13</w:t>
            </w:r>
          </w:p>
        </w:tc>
        <w:tc>
          <w:tcPr>
            <w:tcW w:w="1303" w:type="dxa"/>
            <w:tcBorders>
              <w:top w:val="nil"/>
              <w:left w:val="nil"/>
              <w:bottom w:val="nil"/>
              <w:right w:val="nil"/>
            </w:tcBorders>
            <w:shd w:val="clear" w:color="auto" w:fill="auto"/>
            <w:noWrap/>
            <w:vAlign w:val="bottom"/>
            <w:hideMark/>
          </w:tcPr>
          <w:p w14:paraId="5440FEE1"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3</w:t>
            </w:r>
          </w:p>
        </w:tc>
        <w:tc>
          <w:tcPr>
            <w:tcW w:w="1303" w:type="dxa"/>
            <w:tcBorders>
              <w:top w:val="nil"/>
              <w:left w:val="nil"/>
              <w:bottom w:val="nil"/>
              <w:right w:val="nil"/>
            </w:tcBorders>
            <w:shd w:val="clear" w:color="auto" w:fill="auto"/>
            <w:noWrap/>
            <w:vAlign w:val="bottom"/>
            <w:hideMark/>
          </w:tcPr>
          <w:p w14:paraId="5C7EED28"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5</w:t>
            </w:r>
          </w:p>
        </w:tc>
        <w:tc>
          <w:tcPr>
            <w:tcW w:w="1303" w:type="dxa"/>
            <w:tcBorders>
              <w:top w:val="nil"/>
              <w:left w:val="nil"/>
              <w:bottom w:val="nil"/>
              <w:right w:val="nil"/>
            </w:tcBorders>
            <w:shd w:val="clear" w:color="auto" w:fill="auto"/>
            <w:noWrap/>
            <w:vAlign w:val="bottom"/>
            <w:hideMark/>
          </w:tcPr>
          <w:p w14:paraId="0C5CF532"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5</w:t>
            </w:r>
          </w:p>
        </w:tc>
      </w:tr>
      <w:tr w:rsidR="0080679F" w:rsidRPr="0080679F" w14:paraId="66ABBE46" w14:textId="77777777" w:rsidTr="0080679F">
        <w:trPr>
          <w:trHeight w:val="300"/>
        </w:trPr>
        <w:tc>
          <w:tcPr>
            <w:tcW w:w="2121" w:type="dxa"/>
            <w:tcBorders>
              <w:top w:val="nil"/>
              <w:left w:val="nil"/>
              <w:bottom w:val="nil"/>
              <w:right w:val="nil"/>
            </w:tcBorders>
            <w:shd w:val="clear" w:color="auto" w:fill="auto"/>
            <w:noWrap/>
            <w:vAlign w:val="bottom"/>
            <w:hideMark/>
          </w:tcPr>
          <w:p w14:paraId="11E94BE4" w14:textId="77777777" w:rsidR="0080679F" w:rsidRPr="004D30F3" w:rsidRDefault="0080679F" w:rsidP="0080679F">
            <w:pPr>
              <w:spacing w:after="0" w:line="240" w:lineRule="auto"/>
              <w:jc w:val="center"/>
              <w:rPr>
                <w:rFonts w:eastAsia="Times New Roman"/>
                <w:b/>
                <w:color w:val="000000"/>
                <w:sz w:val="22"/>
              </w:rPr>
            </w:pPr>
            <w:r w:rsidRPr="004D30F3">
              <w:rPr>
                <w:rFonts w:eastAsia="Times New Roman"/>
                <w:b/>
                <w:color w:val="000000"/>
                <w:sz w:val="22"/>
              </w:rPr>
              <w:t>InTASC 3</w:t>
            </w:r>
          </w:p>
        </w:tc>
        <w:tc>
          <w:tcPr>
            <w:tcW w:w="3111" w:type="dxa"/>
            <w:tcBorders>
              <w:top w:val="nil"/>
              <w:left w:val="nil"/>
              <w:bottom w:val="nil"/>
              <w:right w:val="nil"/>
            </w:tcBorders>
            <w:shd w:val="clear" w:color="auto" w:fill="auto"/>
            <w:noWrap/>
            <w:vAlign w:val="bottom"/>
            <w:hideMark/>
          </w:tcPr>
          <w:p w14:paraId="3E1124CC"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11</w:t>
            </w:r>
          </w:p>
        </w:tc>
        <w:tc>
          <w:tcPr>
            <w:tcW w:w="1303" w:type="dxa"/>
            <w:tcBorders>
              <w:top w:val="nil"/>
              <w:left w:val="nil"/>
              <w:bottom w:val="nil"/>
              <w:right w:val="nil"/>
            </w:tcBorders>
            <w:shd w:val="clear" w:color="auto" w:fill="auto"/>
            <w:noWrap/>
            <w:vAlign w:val="bottom"/>
            <w:hideMark/>
          </w:tcPr>
          <w:p w14:paraId="32BD7E14"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0</w:t>
            </w:r>
          </w:p>
        </w:tc>
        <w:tc>
          <w:tcPr>
            <w:tcW w:w="1303" w:type="dxa"/>
            <w:tcBorders>
              <w:top w:val="nil"/>
              <w:left w:val="nil"/>
              <w:bottom w:val="nil"/>
              <w:right w:val="nil"/>
            </w:tcBorders>
            <w:shd w:val="clear" w:color="auto" w:fill="auto"/>
            <w:noWrap/>
            <w:vAlign w:val="bottom"/>
            <w:hideMark/>
          </w:tcPr>
          <w:p w14:paraId="2A9A822F"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7</w:t>
            </w:r>
          </w:p>
        </w:tc>
        <w:tc>
          <w:tcPr>
            <w:tcW w:w="1303" w:type="dxa"/>
            <w:tcBorders>
              <w:top w:val="nil"/>
              <w:left w:val="nil"/>
              <w:bottom w:val="nil"/>
              <w:right w:val="nil"/>
            </w:tcBorders>
            <w:shd w:val="clear" w:color="auto" w:fill="auto"/>
            <w:noWrap/>
            <w:vAlign w:val="bottom"/>
            <w:hideMark/>
          </w:tcPr>
          <w:p w14:paraId="04811267"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4</w:t>
            </w:r>
          </w:p>
        </w:tc>
      </w:tr>
      <w:tr w:rsidR="0080679F" w:rsidRPr="0080679F" w14:paraId="08D81E72" w14:textId="77777777" w:rsidTr="0080679F">
        <w:trPr>
          <w:trHeight w:val="300"/>
        </w:trPr>
        <w:tc>
          <w:tcPr>
            <w:tcW w:w="2121" w:type="dxa"/>
            <w:tcBorders>
              <w:top w:val="nil"/>
              <w:left w:val="nil"/>
              <w:bottom w:val="nil"/>
              <w:right w:val="nil"/>
            </w:tcBorders>
            <w:shd w:val="clear" w:color="auto" w:fill="auto"/>
            <w:noWrap/>
            <w:vAlign w:val="bottom"/>
            <w:hideMark/>
          </w:tcPr>
          <w:p w14:paraId="65AF80DC" w14:textId="77777777" w:rsidR="0080679F" w:rsidRPr="004D30F3" w:rsidRDefault="0080679F" w:rsidP="0080679F">
            <w:pPr>
              <w:spacing w:after="0" w:line="240" w:lineRule="auto"/>
              <w:jc w:val="center"/>
              <w:rPr>
                <w:rFonts w:eastAsia="Times New Roman"/>
                <w:b/>
                <w:color w:val="000000"/>
                <w:sz w:val="22"/>
              </w:rPr>
            </w:pPr>
            <w:r w:rsidRPr="004D30F3">
              <w:rPr>
                <w:rFonts w:eastAsia="Times New Roman"/>
                <w:b/>
                <w:color w:val="000000"/>
                <w:sz w:val="22"/>
              </w:rPr>
              <w:t>InTASC 4</w:t>
            </w:r>
          </w:p>
        </w:tc>
        <w:tc>
          <w:tcPr>
            <w:tcW w:w="3111" w:type="dxa"/>
            <w:tcBorders>
              <w:top w:val="nil"/>
              <w:left w:val="nil"/>
              <w:bottom w:val="nil"/>
              <w:right w:val="nil"/>
            </w:tcBorders>
            <w:shd w:val="clear" w:color="auto" w:fill="auto"/>
            <w:noWrap/>
            <w:vAlign w:val="bottom"/>
            <w:hideMark/>
          </w:tcPr>
          <w:p w14:paraId="18EF5450"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9</w:t>
            </w:r>
          </w:p>
        </w:tc>
        <w:tc>
          <w:tcPr>
            <w:tcW w:w="1303" w:type="dxa"/>
            <w:tcBorders>
              <w:top w:val="nil"/>
              <w:left w:val="nil"/>
              <w:bottom w:val="nil"/>
              <w:right w:val="nil"/>
            </w:tcBorders>
            <w:shd w:val="clear" w:color="auto" w:fill="auto"/>
            <w:noWrap/>
            <w:vAlign w:val="bottom"/>
            <w:hideMark/>
          </w:tcPr>
          <w:p w14:paraId="3082331E"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2</w:t>
            </w:r>
          </w:p>
        </w:tc>
        <w:tc>
          <w:tcPr>
            <w:tcW w:w="1303" w:type="dxa"/>
            <w:tcBorders>
              <w:top w:val="nil"/>
              <w:left w:val="nil"/>
              <w:bottom w:val="nil"/>
              <w:right w:val="nil"/>
            </w:tcBorders>
            <w:shd w:val="clear" w:color="auto" w:fill="auto"/>
            <w:noWrap/>
            <w:vAlign w:val="bottom"/>
            <w:hideMark/>
          </w:tcPr>
          <w:p w14:paraId="0DEFC644"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5</w:t>
            </w:r>
          </w:p>
        </w:tc>
        <w:tc>
          <w:tcPr>
            <w:tcW w:w="1303" w:type="dxa"/>
            <w:tcBorders>
              <w:top w:val="nil"/>
              <w:left w:val="nil"/>
              <w:bottom w:val="nil"/>
              <w:right w:val="nil"/>
            </w:tcBorders>
            <w:shd w:val="clear" w:color="auto" w:fill="auto"/>
            <w:noWrap/>
            <w:vAlign w:val="bottom"/>
            <w:hideMark/>
          </w:tcPr>
          <w:p w14:paraId="4295D34E"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2</w:t>
            </w:r>
          </w:p>
        </w:tc>
      </w:tr>
      <w:tr w:rsidR="0080679F" w:rsidRPr="0080679F" w14:paraId="6701BF06" w14:textId="77777777" w:rsidTr="0080679F">
        <w:trPr>
          <w:trHeight w:val="300"/>
        </w:trPr>
        <w:tc>
          <w:tcPr>
            <w:tcW w:w="2121" w:type="dxa"/>
            <w:tcBorders>
              <w:top w:val="nil"/>
              <w:left w:val="nil"/>
              <w:bottom w:val="nil"/>
              <w:right w:val="nil"/>
            </w:tcBorders>
            <w:shd w:val="clear" w:color="auto" w:fill="auto"/>
            <w:noWrap/>
            <w:vAlign w:val="bottom"/>
            <w:hideMark/>
          </w:tcPr>
          <w:p w14:paraId="6614BD59" w14:textId="77777777" w:rsidR="0080679F" w:rsidRPr="004D30F3" w:rsidRDefault="0080679F" w:rsidP="0080679F">
            <w:pPr>
              <w:spacing w:after="0" w:line="240" w:lineRule="auto"/>
              <w:jc w:val="center"/>
              <w:rPr>
                <w:rFonts w:eastAsia="Times New Roman"/>
                <w:b/>
                <w:color w:val="000000"/>
                <w:sz w:val="22"/>
              </w:rPr>
            </w:pPr>
            <w:r w:rsidRPr="004D30F3">
              <w:rPr>
                <w:rFonts w:eastAsia="Times New Roman"/>
                <w:b/>
                <w:color w:val="000000"/>
                <w:sz w:val="22"/>
              </w:rPr>
              <w:t>InTASC 5</w:t>
            </w:r>
          </w:p>
        </w:tc>
        <w:tc>
          <w:tcPr>
            <w:tcW w:w="3111" w:type="dxa"/>
            <w:tcBorders>
              <w:top w:val="nil"/>
              <w:left w:val="nil"/>
              <w:bottom w:val="nil"/>
              <w:right w:val="nil"/>
            </w:tcBorders>
            <w:shd w:val="clear" w:color="auto" w:fill="auto"/>
            <w:noWrap/>
            <w:vAlign w:val="bottom"/>
            <w:hideMark/>
          </w:tcPr>
          <w:p w14:paraId="44B0F98A"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8</w:t>
            </w:r>
          </w:p>
        </w:tc>
        <w:tc>
          <w:tcPr>
            <w:tcW w:w="1303" w:type="dxa"/>
            <w:tcBorders>
              <w:top w:val="nil"/>
              <w:left w:val="nil"/>
              <w:bottom w:val="nil"/>
              <w:right w:val="nil"/>
            </w:tcBorders>
            <w:shd w:val="clear" w:color="auto" w:fill="auto"/>
            <w:noWrap/>
            <w:vAlign w:val="bottom"/>
            <w:hideMark/>
          </w:tcPr>
          <w:p w14:paraId="546206C9"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0</w:t>
            </w:r>
          </w:p>
        </w:tc>
        <w:tc>
          <w:tcPr>
            <w:tcW w:w="1303" w:type="dxa"/>
            <w:tcBorders>
              <w:top w:val="nil"/>
              <w:left w:val="nil"/>
              <w:bottom w:val="nil"/>
              <w:right w:val="nil"/>
            </w:tcBorders>
            <w:shd w:val="clear" w:color="auto" w:fill="auto"/>
            <w:noWrap/>
            <w:vAlign w:val="bottom"/>
            <w:hideMark/>
          </w:tcPr>
          <w:p w14:paraId="4FAB3D30"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4</w:t>
            </w:r>
          </w:p>
        </w:tc>
        <w:tc>
          <w:tcPr>
            <w:tcW w:w="1303" w:type="dxa"/>
            <w:tcBorders>
              <w:top w:val="nil"/>
              <w:left w:val="nil"/>
              <w:bottom w:val="nil"/>
              <w:right w:val="nil"/>
            </w:tcBorders>
            <w:shd w:val="clear" w:color="auto" w:fill="auto"/>
            <w:noWrap/>
            <w:vAlign w:val="bottom"/>
            <w:hideMark/>
          </w:tcPr>
          <w:p w14:paraId="7757310D"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4</w:t>
            </w:r>
          </w:p>
        </w:tc>
      </w:tr>
      <w:tr w:rsidR="0080679F" w:rsidRPr="0080679F" w14:paraId="3C7D9772" w14:textId="77777777" w:rsidTr="0080679F">
        <w:trPr>
          <w:trHeight w:val="300"/>
        </w:trPr>
        <w:tc>
          <w:tcPr>
            <w:tcW w:w="2121" w:type="dxa"/>
            <w:tcBorders>
              <w:top w:val="nil"/>
              <w:left w:val="nil"/>
              <w:bottom w:val="nil"/>
              <w:right w:val="nil"/>
            </w:tcBorders>
            <w:shd w:val="clear" w:color="auto" w:fill="auto"/>
            <w:noWrap/>
            <w:vAlign w:val="bottom"/>
            <w:hideMark/>
          </w:tcPr>
          <w:p w14:paraId="490A3A65" w14:textId="77777777" w:rsidR="0080679F" w:rsidRPr="004D30F3" w:rsidRDefault="0080679F" w:rsidP="0080679F">
            <w:pPr>
              <w:spacing w:after="0" w:line="240" w:lineRule="auto"/>
              <w:jc w:val="center"/>
              <w:rPr>
                <w:rFonts w:eastAsia="Times New Roman"/>
                <w:b/>
                <w:color w:val="000000"/>
                <w:sz w:val="22"/>
              </w:rPr>
            </w:pPr>
            <w:r w:rsidRPr="004D30F3">
              <w:rPr>
                <w:rFonts w:eastAsia="Times New Roman"/>
                <w:b/>
                <w:color w:val="000000"/>
                <w:sz w:val="22"/>
              </w:rPr>
              <w:t>InTASC 6</w:t>
            </w:r>
          </w:p>
        </w:tc>
        <w:tc>
          <w:tcPr>
            <w:tcW w:w="3111" w:type="dxa"/>
            <w:tcBorders>
              <w:top w:val="nil"/>
              <w:left w:val="nil"/>
              <w:bottom w:val="nil"/>
              <w:right w:val="nil"/>
            </w:tcBorders>
            <w:shd w:val="clear" w:color="auto" w:fill="auto"/>
            <w:noWrap/>
            <w:vAlign w:val="bottom"/>
            <w:hideMark/>
          </w:tcPr>
          <w:p w14:paraId="286F2024"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9</w:t>
            </w:r>
          </w:p>
        </w:tc>
        <w:tc>
          <w:tcPr>
            <w:tcW w:w="1303" w:type="dxa"/>
            <w:tcBorders>
              <w:top w:val="nil"/>
              <w:left w:val="nil"/>
              <w:bottom w:val="nil"/>
              <w:right w:val="nil"/>
            </w:tcBorders>
            <w:shd w:val="clear" w:color="auto" w:fill="auto"/>
            <w:noWrap/>
            <w:vAlign w:val="bottom"/>
            <w:hideMark/>
          </w:tcPr>
          <w:p w14:paraId="4A30CAB0"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0</w:t>
            </w:r>
          </w:p>
        </w:tc>
        <w:tc>
          <w:tcPr>
            <w:tcW w:w="1303" w:type="dxa"/>
            <w:tcBorders>
              <w:top w:val="nil"/>
              <w:left w:val="nil"/>
              <w:bottom w:val="nil"/>
              <w:right w:val="nil"/>
            </w:tcBorders>
            <w:shd w:val="clear" w:color="auto" w:fill="auto"/>
            <w:noWrap/>
            <w:vAlign w:val="bottom"/>
            <w:hideMark/>
          </w:tcPr>
          <w:p w14:paraId="4CDC91F6"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6</w:t>
            </w:r>
          </w:p>
        </w:tc>
        <w:tc>
          <w:tcPr>
            <w:tcW w:w="1303" w:type="dxa"/>
            <w:tcBorders>
              <w:top w:val="nil"/>
              <w:left w:val="nil"/>
              <w:bottom w:val="nil"/>
              <w:right w:val="nil"/>
            </w:tcBorders>
            <w:shd w:val="clear" w:color="auto" w:fill="auto"/>
            <w:noWrap/>
            <w:vAlign w:val="bottom"/>
            <w:hideMark/>
          </w:tcPr>
          <w:p w14:paraId="44D863E8"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3</w:t>
            </w:r>
          </w:p>
        </w:tc>
      </w:tr>
      <w:tr w:rsidR="0080679F" w:rsidRPr="0080679F" w14:paraId="31DE0D23" w14:textId="77777777" w:rsidTr="0080679F">
        <w:trPr>
          <w:trHeight w:val="300"/>
        </w:trPr>
        <w:tc>
          <w:tcPr>
            <w:tcW w:w="2121" w:type="dxa"/>
            <w:tcBorders>
              <w:top w:val="nil"/>
              <w:left w:val="nil"/>
              <w:bottom w:val="nil"/>
              <w:right w:val="nil"/>
            </w:tcBorders>
            <w:shd w:val="clear" w:color="auto" w:fill="auto"/>
            <w:noWrap/>
            <w:vAlign w:val="bottom"/>
            <w:hideMark/>
          </w:tcPr>
          <w:p w14:paraId="3927B3ED" w14:textId="77777777" w:rsidR="0080679F" w:rsidRPr="004D30F3" w:rsidRDefault="0080679F" w:rsidP="0080679F">
            <w:pPr>
              <w:spacing w:after="0" w:line="240" w:lineRule="auto"/>
              <w:jc w:val="center"/>
              <w:rPr>
                <w:rFonts w:eastAsia="Times New Roman"/>
                <w:b/>
                <w:color w:val="000000"/>
                <w:sz w:val="22"/>
              </w:rPr>
            </w:pPr>
            <w:r w:rsidRPr="004D30F3">
              <w:rPr>
                <w:rFonts w:eastAsia="Times New Roman"/>
                <w:b/>
                <w:color w:val="000000"/>
                <w:sz w:val="22"/>
              </w:rPr>
              <w:t>InTASC 7</w:t>
            </w:r>
          </w:p>
        </w:tc>
        <w:tc>
          <w:tcPr>
            <w:tcW w:w="3111" w:type="dxa"/>
            <w:tcBorders>
              <w:top w:val="nil"/>
              <w:left w:val="nil"/>
              <w:bottom w:val="nil"/>
              <w:right w:val="nil"/>
            </w:tcBorders>
            <w:shd w:val="clear" w:color="auto" w:fill="auto"/>
            <w:noWrap/>
            <w:vAlign w:val="bottom"/>
            <w:hideMark/>
          </w:tcPr>
          <w:p w14:paraId="432E57D3"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8</w:t>
            </w:r>
          </w:p>
        </w:tc>
        <w:tc>
          <w:tcPr>
            <w:tcW w:w="1303" w:type="dxa"/>
            <w:tcBorders>
              <w:top w:val="nil"/>
              <w:left w:val="nil"/>
              <w:bottom w:val="nil"/>
              <w:right w:val="nil"/>
            </w:tcBorders>
            <w:shd w:val="clear" w:color="auto" w:fill="auto"/>
            <w:noWrap/>
            <w:vAlign w:val="bottom"/>
            <w:hideMark/>
          </w:tcPr>
          <w:p w14:paraId="63EC137D"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0</w:t>
            </w:r>
          </w:p>
        </w:tc>
        <w:tc>
          <w:tcPr>
            <w:tcW w:w="1303" w:type="dxa"/>
            <w:tcBorders>
              <w:top w:val="nil"/>
              <w:left w:val="nil"/>
              <w:bottom w:val="nil"/>
              <w:right w:val="nil"/>
            </w:tcBorders>
            <w:shd w:val="clear" w:color="auto" w:fill="auto"/>
            <w:noWrap/>
            <w:vAlign w:val="bottom"/>
            <w:hideMark/>
          </w:tcPr>
          <w:p w14:paraId="72B49A71"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5</w:t>
            </w:r>
          </w:p>
        </w:tc>
        <w:tc>
          <w:tcPr>
            <w:tcW w:w="1303" w:type="dxa"/>
            <w:tcBorders>
              <w:top w:val="nil"/>
              <w:left w:val="nil"/>
              <w:bottom w:val="nil"/>
              <w:right w:val="nil"/>
            </w:tcBorders>
            <w:shd w:val="clear" w:color="auto" w:fill="auto"/>
            <w:noWrap/>
            <w:vAlign w:val="bottom"/>
            <w:hideMark/>
          </w:tcPr>
          <w:p w14:paraId="1595E0CE"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3</w:t>
            </w:r>
          </w:p>
        </w:tc>
      </w:tr>
      <w:tr w:rsidR="0080679F" w:rsidRPr="0080679F" w14:paraId="21F5695B" w14:textId="77777777" w:rsidTr="0080679F">
        <w:trPr>
          <w:trHeight w:val="300"/>
        </w:trPr>
        <w:tc>
          <w:tcPr>
            <w:tcW w:w="2121" w:type="dxa"/>
            <w:tcBorders>
              <w:top w:val="nil"/>
              <w:left w:val="nil"/>
              <w:bottom w:val="nil"/>
              <w:right w:val="nil"/>
            </w:tcBorders>
            <w:shd w:val="clear" w:color="auto" w:fill="auto"/>
            <w:noWrap/>
            <w:vAlign w:val="bottom"/>
            <w:hideMark/>
          </w:tcPr>
          <w:p w14:paraId="2EAACA70" w14:textId="77777777" w:rsidR="0080679F" w:rsidRPr="004D30F3" w:rsidRDefault="0080679F" w:rsidP="0080679F">
            <w:pPr>
              <w:spacing w:after="0" w:line="240" w:lineRule="auto"/>
              <w:jc w:val="center"/>
              <w:rPr>
                <w:rFonts w:eastAsia="Times New Roman"/>
                <w:b/>
                <w:color w:val="000000"/>
                <w:sz w:val="22"/>
              </w:rPr>
            </w:pPr>
            <w:r w:rsidRPr="004D30F3">
              <w:rPr>
                <w:rFonts w:eastAsia="Times New Roman"/>
                <w:b/>
                <w:color w:val="000000"/>
                <w:sz w:val="22"/>
              </w:rPr>
              <w:t>InTASC 8</w:t>
            </w:r>
          </w:p>
        </w:tc>
        <w:tc>
          <w:tcPr>
            <w:tcW w:w="3111" w:type="dxa"/>
            <w:tcBorders>
              <w:top w:val="nil"/>
              <w:left w:val="nil"/>
              <w:bottom w:val="nil"/>
              <w:right w:val="nil"/>
            </w:tcBorders>
            <w:shd w:val="clear" w:color="auto" w:fill="auto"/>
            <w:noWrap/>
            <w:vAlign w:val="bottom"/>
            <w:hideMark/>
          </w:tcPr>
          <w:p w14:paraId="6924F28B"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10</w:t>
            </w:r>
          </w:p>
        </w:tc>
        <w:tc>
          <w:tcPr>
            <w:tcW w:w="1303" w:type="dxa"/>
            <w:tcBorders>
              <w:top w:val="nil"/>
              <w:left w:val="nil"/>
              <w:bottom w:val="nil"/>
              <w:right w:val="nil"/>
            </w:tcBorders>
            <w:shd w:val="clear" w:color="auto" w:fill="auto"/>
            <w:noWrap/>
            <w:vAlign w:val="bottom"/>
            <w:hideMark/>
          </w:tcPr>
          <w:p w14:paraId="49799FC1"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2</w:t>
            </w:r>
          </w:p>
        </w:tc>
        <w:tc>
          <w:tcPr>
            <w:tcW w:w="1303" w:type="dxa"/>
            <w:tcBorders>
              <w:top w:val="nil"/>
              <w:left w:val="nil"/>
              <w:bottom w:val="nil"/>
              <w:right w:val="nil"/>
            </w:tcBorders>
            <w:shd w:val="clear" w:color="auto" w:fill="auto"/>
            <w:noWrap/>
            <w:vAlign w:val="bottom"/>
            <w:hideMark/>
          </w:tcPr>
          <w:p w14:paraId="59F2801C"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4</w:t>
            </w:r>
          </w:p>
        </w:tc>
        <w:tc>
          <w:tcPr>
            <w:tcW w:w="1303" w:type="dxa"/>
            <w:tcBorders>
              <w:top w:val="nil"/>
              <w:left w:val="nil"/>
              <w:bottom w:val="nil"/>
              <w:right w:val="nil"/>
            </w:tcBorders>
            <w:shd w:val="clear" w:color="auto" w:fill="auto"/>
            <w:noWrap/>
            <w:vAlign w:val="bottom"/>
            <w:hideMark/>
          </w:tcPr>
          <w:p w14:paraId="47299993"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4</w:t>
            </w:r>
          </w:p>
        </w:tc>
      </w:tr>
      <w:tr w:rsidR="0080679F" w:rsidRPr="0080679F" w14:paraId="1122D9BD" w14:textId="77777777" w:rsidTr="0080679F">
        <w:trPr>
          <w:trHeight w:val="300"/>
        </w:trPr>
        <w:tc>
          <w:tcPr>
            <w:tcW w:w="2121" w:type="dxa"/>
            <w:tcBorders>
              <w:top w:val="nil"/>
              <w:left w:val="nil"/>
              <w:bottom w:val="nil"/>
              <w:right w:val="nil"/>
            </w:tcBorders>
            <w:shd w:val="clear" w:color="auto" w:fill="auto"/>
            <w:noWrap/>
            <w:vAlign w:val="bottom"/>
            <w:hideMark/>
          </w:tcPr>
          <w:p w14:paraId="5ED79070" w14:textId="77777777" w:rsidR="0080679F" w:rsidRPr="004D30F3" w:rsidRDefault="0080679F" w:rsidP="0080679F">
            <w:pPr>
              <w:spacing w:after="0" w:line="240" w:lineRule="auto"/>
              <w:jc w:val="center"/>
              <w:rPr>
                <w:rFonts w:eastAsia="Times New Roman"/>
                <w:b/>
                <w:color w:val="000000"/>
                <w:sz w:val="22"/>
              </w:rPr>
            </w:pPr>
            <w:r w:rsidRPr="004D30F3">
              <w:rPr>
                <w:rFonts w:eastAsia="Times New Roman"/>
                <w:b/>
                <w:color w:val="000000"/>
                <w:sz w:val="22"/>
              </w:rPr>
              <w:t>InTASC 9</w:t>
            </w:r>
          </w:p>
        </w:tc>
        <w:tc>
          <w:tcPr>
            <w:tcW w:w="3111" w:type="dxa"/>
            <w:tcBorders>
              <w:top w:val="nil"/>
              <w:left w:val="nil"/>
              <w:bottom w:val="nil"/>
              <w:right w:val="nil"/>
            </w:tcBorders>
            <w:shd w:val="clear" w:color="auto" w:fill="auto"/>
            <w:noWrap/>
            <w:vAlign w:val="bottom"/>
            <w:hideMark/>
          </w:tcPr>
          <w:p w14:paraId="0ECD045D"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11</w:t>
            </w:r>
          </w:p>
        </w:tc>
        <w:tc>
          <w:tcPr>
            <w:tcW w:w="1303" w:type="dxa"/>
            <w:tcBorders>
              <w:top w:val="nil"/>
              <w:left w:val="nil"/>
              <w:bottom w:val="nil"/>
              <w:right w:val="nil"/>
            </w:tcBorders>
            <w:shd w:val="clear" w:color="auto" w:fill="auto"/>
            <w:noWrap/>
            <w:vAlign w:val="bottom"/>
            <w:hideMark/>
          </w:tcPr>
          <w:p w14:paraId="6A2D17EF"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1</w:t>
            </w:r>
          </w:p>
        </w:tc>
        <w:tc>
          <w:tcPr>
            <w:tcW w:w="1303" w:type="dxa"/>
            <w:tcBorders>
              <w:top w:val="nil"/>
              <w:left w:val="nil"/>
              <w:bottom w:val="nil"/>
              <w:right w:val="nil"/>
            </w:tcBorders>
            <w:shd w:val="clear" w:color="auto" w:fill="auto"/>
            <w:noWrap/>
            <w:vAlign w:val="bottom"/>
            <w:hideMark/>
          </w:tcPr>
          <w:p w14:paraId="5EFC15D9"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6</w:t>
            </w:r>
          </w:p>
        </w:tc>
        <w:tc>
          <w:tcPr>
            <w:tcW w:w="1303" w:type="dxa"/>
            <w:tcBorders>
              <w:top w:val="nil"/>
              <w:left w:val="nil"/>
              <w:bottom w:val="nil"/>
              <w:right w:val="nil"/>
            </w:tcBorders>
            <w:shd w:val="clear" w:color="auto" w:fill="auto"/>
            <w:noWrap/>
            <w:vAlign w:val="bottom"/>
            <w:hideMark/>
          </w:tcPr>
          <w:p w14:paraId="07DF0080"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4</w:t>
            </w:r>
          </w:p>
        </w:tc>
      </w:tr>
      <w:tr w:rsidR="0080679F" w:rsidRPr="0080679F" w14:paraId="0B0A76C5" w14:textId="77777777" w:rsidTr="0080679F">
        <w:trPr>
          <w:trHeight w:val="300"/>
        </w:trPr>
        <w:tc>
          <w:tcPr>
            <w:tcW w:w="2121" w:type="dxa"/>
            <w:tcBorders>
              <w:top w:val="nil"/>
              <w:left w:val="nil"/>
              <w:bottom w:val="nil"/>
              <w:right w:val="nil"/>
            </w:tcBorders>
            <w:shd w:val="clear" w:color="auto" w:fill="auto"/>
            <w:noWrap/>
            <w:vAlign w:val="bottom"/>
            <w:hideMark/>
          </w:tcPr>
          <w:p w14:paraId="0107D3B9" w14:textId="77777777" w:rsidR="0080679F" w:rsidRPr="004D30F3" w:rsidRDefault="0080679F" w:rsidP="0080679F">
            <w:pPr>
              <w:spacing w:after="0" w:line="240" w:lineRule="auto"/>
              <w:jc w:val="center"/>
              <w:rPr>
                <w:rFonts w:eastAsia="Times New Roman"/>
                <w:b/>
                <w:color w:val="000000"/>
                <w:sz w:val="22"/>
              </w:rPr>
            </w:pPr>
            <w:r w:rsidRPr="004D30F3">
              <w:rPr>
                <w:rFonts w:eastAsia="Times New Roman"/>
                <w:b/>
                <w:color w:val="000000"/>
                <w:sz w:val="22"/>
              </w:rPr>
              <w:t>InTASC 10</w:t>
            </w:r>
          </w:p>
        </w:tc>
        <w:tc>
          <w:tcPr>
            <w:tcW w:w="3111" w:type="dxa"/>
            <w:tcBorders>
              <w:top w:val="nil"/>
              <w:left w:val="nil"/>
              <w:bottom w:val="nil"/>
              <w:right w:val="nil"/>
            </w:tcBorders>
            <w:shd w:val="clear" w:color="auto" w:fill="auto"/>
            <w:noWrap/>
            <w:vAlign w:val="bottom"/>
            <w:hideMark/>
          </w:tcPr>
          <w:p w14:paraId="24520C31"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11</w:t>
            </w:r>
          </w:p>
        </w:tc>
        <w:tc>
          <w:tcPr>
            <w:tcW w:w="1303" w:type="dxa"/>
            <w:tcBorders>
              <w:top w:val="nil"/>
              <w:left w:val="nil"/>
              <w:bottom w:val="nil"/>
              <w:right w:val="nil"/>
            </w:tcBorders>
            <w:shd w:val="clear" w:color="auto" w:fill="auto"/>
            <w:noWrap/>
            <w:vAlign w:val="bottom"/>
            <w:hideMark/>
          </w:tcPr>
          <w:p w14:paraId="7AAA7F2D"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2</w:t>
            </w:r>
          </w:p>
        </w:tc>
        <w:tc>
          <w:tcPr>
            <w:tcW w:w="1303" w:type="dxa"/>
            <w:tcBorders>
              <w:top w:val="nil"/>
              <w:left w:val="nil"/>
              <w:bottom w:val="nil"/>
              <w:right w:val="nil"/>
            </w:tcBorders>
            <w:shd w:val="clear" w:color="auto" w:fill="auto"/>
            <w:noWrap/>
            <w:vAlign w:val="bottom"/>
            <w:hideMark/>
          </w:tcPr>
          <w:p w14:paraId="79DDE2B5"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4</w:t>
            </w:r>
          </w:p>
        </w:tc>
        <w:tc>
          <w:tcPr>
            <w:tcW w:w="1303" w:type="dxa"/>
            <w:tcBorders>
              <w:top w:val="nil"/>
              <w:left w:val="nil"/>
              <w:bottom w:val="nil"/>
              <w:right w:val="nil"/>
            </w:tcBorders>
            <w:shd w:val="clear" w:color="auto" w:fill="auto"/>
            <w:noWrap/>
            <w:vAlign w:val="bottom"/>
            <w:hideMark/>
          </w:tcPr>
          <w:p w14:paraId="504F3E00"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5</w:t>
            </w:r>
          </w:p>
        </w:tc>
      </w:tr>
      <w:tr w:rsidR="0080679F" w:rsidRPr="0080679F" w14:paraId="6B35C381" w14:textId="77777777" w:rsidTr="0080679F">
        <w:trPr>
          <w:trHeight w:val="300"/>
        </w:trPr>
        <w:tc>
          <w:tcPr>
            <w:tcW w:w="2121" w:type="dxa"/>
            <w:tcBorders>
              <w:top w:val="single" w:sz="4" w:space="0" w:color="auto"/>
              <w:left w:val="nil"/>
              <w:bottom w:val="nil"/>
              <w:right w:val="nil"/>
            </w:tcBorders>
            <w:shd w:val="clear" w:color="auto" w:fill="auto"/>
            <w:noWrap/>
            <w:vAlign w:val="bottom"/>
            <w:hideMark/>
          </w:tcPr>
          <w:p w14:paraId="2B7B2535" w14:textId="77777777" w:rsidR="0080679F" w:rsidRPr="0080679F" w:rsidRDefault="0080679F" w:rsidP="0080679F">
            <w:pPr>
              <w:spacing w:after="0" w:line="240" w:lineRule="auto"/>
              <w:jc w:val="center"/>
              <w:rPr>
                <w:rFonts w:eastAsia="Times New Roman"/>
                <w:b/>
                <w:bCs/>
                <w:color w:val="000000"/>
                <w:sz w:val="22"/>
              </w:rPr>
            </w:pPr>
            <w:r w:rsidRPr="0080679F">
              <w:rPr>
                <w:rFonts w:eastAsia="Times New Roman"/>
                <w:b/>
                <w:bCs/>
                <w:color w:val="000000"/>
                <w:sz w:val="22"/>
              </w:rPr>
              <w:t>Totals</w:t>
            </w:r>
          </w:p>
        </w:tc>
        <w:tc>
          <w:tcPr>
            <w:tcW w:w="3111" w:type="dxa"/>
            <w:tcBorders>
              <w:top w:val="single" w:sz="4" w:space="0" w:color="auto"/>
              <w:left w:val="nil"/>
              <w:bottom w:val="nil"/>
              <w:right w:val="nil"/>
            </w:tcBorders>
            <w:shd w:val="clear" w:color="auto" w:fill="auto"/>
            <w:noWrap/>
            <w:vAlign w:val="bottom"/>
            <w:hideMark/>
          </w:tcPr>
          <w:p w14:paraId="2E4F1A3A" w14:textId="77777777" w:rsidR="0080679F" w:rsidRPr="0080679F" w:rsidRDefault="0080679F" w:rsidP="0080679F">
            <w:pPr>
              <w:spacing w:after="0" w:line="240" w:lineRule="auto"/>
              <w:jc w:val="center"/>
              <w:rPr>
                <w:rFonts w:eastAsia="Times New Roman"/>
                <w:b/>
                <w:bCs/>
                <w:color w:val="000000"/>
                <w:sz w:val="22"/>
              </w:rPr>
            </w:pPr>
            <w:r w:rsidRPr="0080679F">
              <w:rPr>
                <w:rFonts w:eastAsia="Times New Roman"/>
                <w:b/>
                <w:bCs/>
                <w:color w:val="000000"/>
                <w:sz w:val="22"/>
              </w:rPr>
              <w:t>101</w:t>
            </w:r>
          </w:p>
        </w:tc>
        <w:tc>
          <w:tcPr>
            <w:tcW w:w="1303" w:type="dxa"/>
            <w:tcBorders>
              <w:top w:val="single" w:sz="4" w:space="0" w:color="auto"/>
              <w:left w:val="nil"/>
              <w:bottom w:val="nil"/>
              <w:right w:val="nil"/>
            </w:tcBorders>
            <w:shd w:val="clear" w:color="auto" w:fill="auto"/>
            <w:noWrap/>
            <w:vAlign w:val="bottom"/>
            <w:hideMark/>
          </w:tcPr>
          <w:p w14:paraId="2BADF0D9" w14:textId="77777777" w:rsidR="0080679F" w:rsidRPr="0080679F" w:rsidRDefault="0080679F" w:rsidP="0080679F">
            <w:pPr>
              <w:spacing w:after="0" w:line="240" w:lineRule="auto"/>
              <w:jc w:val="center"/>
              <w:rPr>
                <w:rFonts w:eastAsia="Times New Roman"/>
                <w:b/>
                <w:bCs/>
                <w:color w:val="000000"/>
                <w:sz w:val="22"/>
              </w:rPr>
            </w:pPr>
            <w:r w:rsidRPr="0080679F">
              <w:rPr>
                <w:rFonts w:eastAsia="Times New Roman"/>
                <w:b/>
                <w:bCs/>
                <w:color w:val="000000"/>
                <w:sz w:val="22"/>
              </w:rPr>
              <w:t>14</w:t>
            </w:r>
          </w:p>
        </w:tc>
        <w:tc>
          <w:tcPr>
            <w:tcW w:w="1303" w:type="dxa"/>
            <w:tcBorders>
              <w:top w:val="single" w:sz="4" w:space="0" w:color="auto"/>
              <w:left w:val="nil"/>
              <w:bottom w:val="nil"/>
              <w:right w:val="nil"/>
            </w:tcBorders>
            <w:shd w:val="clear" w:color="auto" w:fill="auto"/>
            <w:noWrap/>
            <w:vAlign w:val="bottom"/>
            <w:hideMark/>
          </w:tcPr>
          <w:p w14:paraId="4AFD7D23" w14:textId="77777777" w:rsidR="0080679F" w:rsidRPr="0080679F" w:rsidRDefault="0080679F" w:rsidP="0080679F">
            <w:pPr>
              <w:spacing w:after="0" w:line="240" w:lineRule="auto"/>
              <w:jc w:val="center"/>
              <w:rPr>
                <w:rFonts w:eastAsia="Times New Roman"/>
                <w:b/>
                <w:bCs/>
                <w:color w:val="000000"/>
                <w:sz w:val="22"/>
              </w:rPr>
            </w:pPr>
            <w:r w:rsidRPr="0080679F">
              <w:rPr>
                <w:rFonts w:eastAsia="Times New Roman"/>
                <w:b/>
                <w:bCs/>
                <w:color w:val="000000"/>
                <w:sz w:val="22"/>
              </w:rPr>
              <w:t>49</w:t>
            </w:r>
          </w:p>
        </w:tc>
        <w:tc>
          <w:tcPr>
            <w:tcW w:w="1303" w:type="dxa"/>
            <w:tcBorders>
              <w:top w:val="single" w:sz="4" w:space="0" w:color="auto"/>
              <w:left w:val="nil"/>
              <w:bottom w:val="nil"/>
              <w:right w:val="nil"/>
            </w:tcBorders>
            <w:shd w:val="clear" w:color="auto" w:fill="auto"/>
            <w:noWrap/>
            <w:vAlign w:val="bottom"/>
            <w:hideMark/>
          </w:tcPr>
          <w:p w14:paraId="79B68C6A" w14:textId="77777777" w:rsidR="0080679F" w:rsidRPr="0080679F" w:rsidRDefault="0080679F" w:rsidP="0080679F">
            <w:pPr>
              <w:spacing w:after="0" w:line="240" w:lineRule="auto"/>
              <w:jc w:val="center"/>
              <w:rPr>
                <w:rFonts w:eastAsia="Times New Roman"/>
                <w:b/>
                <w:bCs/>
                <w:color w:val="000000"/>
                <w:sz w:val="22"/>
              </w:rPr>
            </w:pPr>
            <w:r w:rsidRPr="0080679F">
              <w:rPr>
                <w:rFonts w:eastAsia="Times New Roman"/>
                <w:b/>
                <w:bCs/>
                <w:color w:val="000000"/>
                <w:sz w:val="22"/>
              </w:rPr>
              <w:t>38</w:t>
            </w:r>
          </w:p>
        </w:tc>
      </w:tr>
      <w:tr w:rsidR="0080679F" w:rsidRPr="0080679F" w14:paraId="7FCBAC2D" w14:textId="77777777" w:rsidTr="0080679F">
        <w:trPr>
          <w:trHeight w:val="315"/>
        </w:trPr>
        <w:tc>
          <w:tcPr>
            <w:tcW w:w="2121" w:type="dxa"/>
            <w:tcBorders>
              <w:top w:val="nil"/>
              <w:left w:val="nil"/>
              <w:bottom w:val="single" w:sz="4" w:space="0" w:color="auto"/>
              <w:right w:val="nil"/>
            </w:tcBorders>
            <w:shd w:val="clear" w:color="auto" w:fill="auto"/>
            <w:noWrap/>
            <w:vAlign w:val="bottom"/>
            <w:hideMark/>
          </w:tcPr>
          <w:p w14:paraId="089A1597" w14:textId="77777777" w:rsidR="0080679F" w:rsidRPr="0080679F" w:rsidRDefault="0080679F" w:rsidP="0080679F">
            <w:pPr>
              <w:spacing w:after="0" w:line="240" w:lineRule="auto"/>
              <w:jc w:val="center"/>
              <w:rPr>
                <w:rFonts w:eastAsia="Times New Roman"/>
                <w:b/>
                <w:bCs/>
                <w:color w:val="000000"/>
                <w:sz w:val="22"/>
              </w:rPr>
            </w:pPr>
            <w:r w:rsidRPr="0080679F">
              <w:rPr>
                <w:rFonts w:eastAsia="Times New Roman"/>
                <w:b/>
                <w:bCs/>
                <w:color w:val="000000"/>
                <w:sz w:val="22"/>
              </w:rPr>
              <w:t>Percentages</w:t>
            </w:r>
          </w:p>
        </w:tc>
        <w:tc>
          <w:tcPr>
            <w:tcW w:w="3111" w:type="dxa"/>
            <w:tcBorders>
              <w:top w:val="nil"/>
              <w:left w:val="nil"/>
              <w:bottom w:val="single" w:sz="4" w:space="0" w:color="auto"/>
              <w:right w:val="nil"/>
            </w:tcBorders>
            <w:shd w:val="clear" w:color="auto" w:fill="auto"/>
            <w:noWrap/>
            <w:vAlign w:val="bottom"/>
            <w:hideMark/>
          </w:tcPr>
          <w:p w14:paraId="1A3B00B9" w14:textId="77777777" w:rsidR="0080679F" w:rsidRPr="0080679F" w:rsidRDefault="0080679F" w:rsidP="0080679F">
            <w:pPr>
              <w:spacing w:after="0" w:line="240" w:lineRule="auto"/>
              <w:jc w:val="center"/>
              <w:rPr>
                <w:rFonts w:eastAsia="Times New Roman"/>
                <w:color w:val="000000"/>
                <w:sz w:val="22"/>
              </w:rPr>
            </w:pPr>
            <w:r w:rsidRPr="0080679F">
              <w:rPr>
                <w:rFonts w:eastAsia="Times New Roman"/>
                <w:color w:val="000000"/>
                <w:sz w:val="22"/>
              </w:rPr>
              <w:t> </w:t>
            </w:r>
          </w:p>
        </w:tc>
        <w:tc>
          <w:tcPr>
            <w:tcW w:w="1303" w:type="dxa"/>
            <w:tcBorders>
              <w:top w:val="nil"/>
              <w:left w:val="nil"/>
              <w:bottom w:val="single" w:sz="4" w:space="0" w:color="auto"/>
              <w:right w:val="nil"/>
            </w:tcBorders>
            <w:shd w:val="clear" w:color="auto" w:fill="auto"/>
            <w:noWrap/>
            <w:vAlign w:val="bottom"/>
            <w:hideMark/>
          </w:tcPr>
          <w:p w14:paraId="64977BE4" w14:textId="77777777" w:rsidR="0080679F" w:rsidRPr="0080679F" w:rsidRDefault="0080679F" w:rsidP="0080679F">
            <w:pPr>
              <w:spacing w:after="0" w:line="240" w:lineRule="auto"/>
              <w:jc w:val="center"/>
              <w:rPr>
                <w:rFonts w:eastAsia="Times New Roman"/>
                <w:b/>
                <w:bCs/>
                <w:color w:val="000000"/>
                <w:sz w:val="22"/>
              </w:rPr>
            </w:pPr>
            <w:r w:rsidRPr="0080679F">
              <w:rPr>
                <w:rFonts w:eastAsia="Times New Roman"/>
                <w:b/>
                <w:bCs/>
                <w:color w:val="000000"/>
                <w:sz w:val="22"/>
              </w:rPr>
              <w:t>14%</w:t>
            </w:r>
          </w:p>
        </w:tc>
        <w:tc>
          <w:tcPr>
            <w:tcW w:w="1303" w:type="dxa"/>
            <w:tcBorders>
              <w:top w:val="nil"/>
              <w:left w:val="nil"/>
              <w:bottom w:val="single" w:sz="4" w:space="0" w:color="auto"/>
              <w:right w:val="nil"/>
            </w:tcBorders>
            <w:shd w:val="clear" w:color="auto" w:fill="auto"/>
            <w:noWrap/>
            <w:vAlign w:val="bottom"/>
            <w:hideMark/>
          </w:tcPr>
          <w:p w14:paraId="2278CCFF" w14:textId="77777777" w:rsidR="0080679F" w:rsidRPr="0080679F" w:rsidRDefault="0080679F" w:rsidP="0080679F">
            <w:pPr>
              <w:spacing w:after="0" w:line="240" w:lineRule="auto"/>
              <w:jc w:val="center"/>
              <w:rPr>
                <w:rFonts w:eastAsia="Times New Roman"/>
                <w:b/>
                <w:bCs/>
                <w:color w:val="000000"/>
                <w:sz w:val="22"/>
              </w:rPr>
            </w:pPr>
            <w:r w:rsidRPr="0080679F">
              <w:rPr>
                <w:rFonts w:eastAsia="Times New Roman"/>
                <w:b/>
                <w:bCs/>
                <w:color w:val="000000"/>
                <w:sz w:val="22"/>
              </w:rPr>
              <w:t>49%</w:t>
            </w:r>
          </w:p>
        </w:tc>
        <w:tc>
          <w:tcPr>
            <w:tcW w:w="1303" w:type="dxa"/>
            <w:tcBorders>
              <w:top w:val="nil"/>
              <w:left w:val="nil"/>
              <w:bottom w:val="single" w:sz="4" w:space="0" w:color="auto"/>
              <w:right w:val="nil"/>
            </w:tcBorders>
            <w:shd w:val="clear" w:color="auto" w:fill="auto"/>
            <w:noWrap/>
            <w:vAlign w:val="bottom"/>
            <w:hideMark/>
          </w:tcPr>
          <w:p w14:paraId="0F5D0D16" w14:textId="77777777" w:rsidR="0080679F" w:rsidRPr="0080679F" w:rsidRDefault="0080679F" w:rsidP="0080679F">
            <w:pPr>
              <w:spacing w:after="0" w:line="240" w:lineRule="auto"/>
              <w:jc w:val="center"/>
              <w:rPr>
                <w:rFonts w:eastAsia="Times New Roman"/>
                <w:b/>
                <w:bCs/>
                <w:color w:val="000000"/>
                <w:sz w:val="22"/>
              </w:rPr>
            </w:pPr>
            <w:r w:rsidRPr="0080679F">
              <w:rPr>
                <w:rFonts w:eastAsia="Times New Roman"/>
                <w:b/>
                <w:bCs/>
                <w:color w:val="000000"/>
                <w:sz w:val="22"/>
              </w:rPr>
              <w:t>38%</w:t>
            </w:r>
          </w:p>
        </w:tc>
      </w:tr>
    </w:tbl>
    <w:p w14:paraId="43993A7A" w14:textId="77777777" w:rsidR="0080679F" w:rsidRPr="0080679F" w:rsidRDefault="0080679F" w:rsidP="0080679F">
      <w:pPr>
        <w:rPr>
          <w:sz w:val="16"/>
          <w:szCs w:val="16"/>
        </w:rPr>
      </w:pPr>
    </w:p>
    <w:p w14:paraId="6865252C" w14:textId="77777777" w:rsidR="00704058" w:rsidRDefault="0080679F" w:rsidP="0080679F">
      <w:r w:rsidRPr="0080679F">
        <w:t xml:space="preserve">The first observation </w:t>
      </w:r>
      <w:r>
        <w:t>regarding Table</w:t>
      </w:r>
      <w:r w:rsidRPr="0080679F">
        <w:t xml:space="preserve"> 1 is</w:t>
      </w:r>
      <w:r w:rsidR="001C292A">
        <w:t xml:space="preserve"> to note</w:t>
      </w:r>
      <w:r w:rsidRPr="0080679F">
        <w:t xml:space="preserve"> the plethora of data is so robust that it is almost necessary to use a pl</w:t>
      </w:r>
      <w:r w:rsidRPr="0080679F">
        <w:rPr>
          <w:bCs/>
        </w:rPr>
        <w:t>ethysmograph</w:t>
      </w:r>
      <w:r w:rsidRPr="0080679F">
        <w:t xml:space="preserve"> for analysis</w:t>
      </w:r>
      <w:r w:rsidR="002436AE">
        <w:t xml:space="preserve"> of the 101 various TEP </w:t>
      </w:r>
      <w:r w:rsidR="003978AF">
        <w:t xml:space="preserve">instances of </w:t>
      </w:r>
      <w:r w:rsidR="002436AE">
        <w:t>assessments</w:t>
      </w:r>
      <w:r w:rsidRPr="0080679F">
        <w:t xml:space="preserve">.  </w:t>
      </w:r>
    </w:p>
    <w:p w14:paraId="0B4FF46F" w14:textId="77777777" w:rsidR="0080679F" w:rsidRDefault="00704058" w:rsidP="0080679F">
      <w:r>
        <w:t>However, i</w:t>
      </w:r>
      <w:r w:rsidR="002436AE">
        <w:t>n the alternative</w:t>
      </w:r>
      <w:r>
        <w:t xml:space="preserve"> to using a</w:t>
      </w:r>
      <w:r w:rsidRPr="00704058">
        <w:t xml:space="preserve"> </w:t>
      </w:r>
      <w:r w:rsidRPr="0080679F">
        <w:t>pl</w:t>
      </w:r>
      <w:r w:rsidRPr="0080679F">
        <w:rPr>
          <w:bCs/>
        </w:rPr>
        <w:t>ethysmograph</w:t>
      </w:r>
      <w:r>
        <w:rPr>
          <w:bCs/>
        </w:rPr>
        <w:t xml:space="preserve"> to determine the amount of plethora</w:t>
      </w:r>
      <w:r w:rsidR="002436AE">
        <w:t xml:space="preserve">, it is clear the assessment plan of the </w:t>
      </w:r>
      <w:r w:rsidR="003A284F">
        <w:t>Division</w:t>
      </w:r>
      <w:r w:rsidR="002436AE">
        <w:t xml:space="preserve"> provides an excellent coverage of the InTASC </w:t>
      </w:r>
      <w:r w:rsidR="003978AF">
        <w:t>standards</w:t>
      </w:r>
      <w:r w:rsidR="002436AE">
        <w:t xml:space="preserve"> ranging from </w:t>
      </w:r>
      <w:r w:rsidR="00477D1A">
        <w:t>8</w:t>
      </w:r>
      <w:r w:rsidR="002436AE">
        <w:t xml:space="preserve"> </w:t>
      </w:r>
      <w:r w:rsidR="00477D1A">
        <w:t>to 13</w:t>
      </w:r>
      <w:r w:rsidR="002436AE">
        <w:t xml:space="preserve"> separate assessment</w:t>
      </w:r>
      <w:r w:rsidR="00477D1A">
        <w:t>s</w:t>
      </w:r>
      <w:r w:rsidR="00A91EE5">
        <w:t xml:space="preserve"> per standard</w:t>
      </w:r>
      <w:r w:rsidR="002436AE">
        <w:t xml:space="preserve">.  Further, it is notable that the </w:t>
      </w:r>
      <w:r w:rsidR="00F67133">
        <w:t>Stage I</w:t>
      </w:r>
      <w:r w:rsidR="002436AE">
        <w:t xml:space="preserve"> battery of assessments accounts f</w:t>
      </w:r>
      <w:r w:rsidR="001C292A">
        <w:t xml:space="preserve">or 14% of the total assessments, providing a reasonable amount of data for informing transition to candidacy.  The </w:t>
      </w:r>
      <w:r w:rsidR="00F67133">
        <w:t>Stage II</w:t>
      </w:r>
      <w:r w:rsidR="001C292A">
        <w:t xml:space="preserve"> frequency of assessment accounts for nearly half of all TEP assessments indicating a solid conviction to ensure candidates are prepared for student teaching.  </w:t>
      </w:r>
      <w:r w:rsidR="00F67133">
        <w:t>Stage III</w:t>
      </w:r>
      <w:r w:rsidR="001C292A">
        <w:t xml:space="preserve"> is well over a third of the total volume of assessment</w:t>
      </w:r>
      <w:r w:rsidR="006F1120">
        <w:t>s</w:t>
      </w:r>
      <w:r w:rsidR="001C292A">
        <w:t xml:space="preserve"> providing an abundance of </w:t>
      </w:r>
      <w:r w:rsidR="00477D1A">
        <w:t xml:space="preserve">summative programmatic </w:t>
      </w:r>
      <w:r w:rsidR="001C292A">
        <w:t xml:space="preserve">data </w:t>
      </w:r>
      <w:r w:rsidR="00477D1A">
        <w:t>as well as new data illuminating the quality of classroom practice.</w:t>
      </w:r>
      <w:r w:rsidR="001C292A">
        <w:t xml:space="preserve"> </w:t>
      </w:r>
    </w:p>
    <w:p w14:paraId="15610BEF" w14:textId="77777777" w:rsidR="005A78D6" w:rsidRDefault="00A91EE5" w:rsidP="00A91EE5">
      <w:r>
        <w:lastRenderedPageBreak/>
        <w:t>Table 2 below offers a focus on the actual amount of data collected and more importantly, highlights the subsequent quality of the respondents’ performance on the assessments</w:t>
      </w:r>
      <w:r w:rsidR="00A73485">
        <w:t xml:space="preserve"> with respect to the corresponding InTASC Standard</w:t>
      </w:r>
      <w:r>
        <w:t xml:space="preserve">.   </w:t>
      </w:r>
    </w:p>
    <w:p w14:paraId="47139FD9" w14:textId="77777777" w:rsidR="00E03996" w:rsidRPr="00E03996" w:rsidRDefault="00CA160D" w:rsidP="00E755E4">
      <w:pPr>
        <w:pStyle w:val="Heading3"/>
      </w:pPr>
      <w:r>
        <w:t xml:space="preserve">     </w:t>
      </w:r>
      <w:bookmarkStart w:id="17" w:name="_Toc493221888"/>
      <w:r w:rsidR="00C71759">
        <w:t xml:space="preserve">Overall </w:t>
      </w:r>
      <w:r w:rsidR="00E03996">
        <w:t>Distribution of TEP assessments qualifiers per InTASC standard</w:t>
      </w:r>
      <w:r>
        <w:t>.</w:t>
      </w:r>
      <w:bookmarkEnd w:id="17"/>
    </w:p>
    <w:tbl>
      <w:tblPr>
        <w:tblW w:w="8660" w:type="dxa"/>
        <w:tblInd w:w="93" w:type="dxa"/>
        <w:tblLook w:val="04A0" w:firstRow="1" w:lastRow="0" w:firstColumn="1" w:lastColumn="0" w:noHBand="0" w:noVBand="1"/>
      </w:tblPr>
      <w:tblGrid>
        <w:gridCol w:w="1622"/>
        <w:gridCol w:w="1167"/>
        <w:gridCol w:w="1502"/>
        <w:gridCol w:w="1347"/>
        <w:gridCol w:w="1520"/>
        <w:gridCol w:w="1502"/>
      </w:tblGrid>
      <w:tr w:rsidR="00A91EE5" w:rsidRPr="006F1120" w14:paraId="225515AD" w14:textId="77777777" w:rsidTr="003B4D0F">
        <w:trPr>
          <w:trHeight w:val="300"/>
        </w:trPr>
        <w:tc>
          <w:tcPr>
            <w:tcW w:w="8660" w:type="dxa"/>
            <w:gridSpan w:val="6"/>
            <w:tcBorders>
              <w:top w:val="single" w:sz="4" w:space="0" w:color="auto"/>
              <w:left w:val="nil"/>
              <w:bottom w:val="nil"/>
              <w:right w:val="nil"/>
            </w:tcBorders>
            <w:shd w:val="clear" w:color="auto" w:fill="auto"/>
            <w:noWrap/>
            <w:vAlign w:val="center"/>
            <w:hideMark/>
          </w:tcPr>
          <w:p w14:paraId="56E8215F" w14:textId="77777777" w:rsidR="00A91EE5" w:rsidRPr="006F1120" w:rsidRDefault="002F5554" w:rsidP="00290AD3">
            <w:pPr>
              <w:spacing w:after="0" w:line="240" w:lineRule="auto"/>
              <w:jc w:val="center"/>
              <w:rPr>
                <w:rFonts w:eastAsia="Times New Roman"/>
                <w:b/>
                <w:bCs/>
                <w:color w:val="000000"/>
                <w:sz w:val="26"/>
                <w:szCs w:val="26"/>
              </w:rPr>
            </w:pPr>
            <w:bookmarkStart w:id="18" w:name="_Toc492828024"/>
            <w:r w:rsidRPr="002F5554">
              <w:rPr>
                <w:b/>
                <w:sz w:val="26"/>
                <w:szCs w:val="26"/>
              </w:rPr>
              <w:t xml:space="preserve">Table </w:t>
            </w:r>
            <w:r w:rsidRPr="002F5554">
              <w:rPr>
                <w:b/>
                <w:sz w:val="26"/>
                <w:szCs w:val="26"/>
              </w:rPr>
              <w:fldChar w:fldCharType="begin"/>
            </w:r>
            <w:r w:rsidRPr="002F5554">
              <w:rPr>
                <w:b/>
                <w:sz w:val="26"/>
                <w:szCs w:val="26"/>
              </w:rPr>
              <w:instrText xml:space="preserve"> SEQ Table \* ARABIC </w:instrText>
            </w:r>
            <w:r w:rsidRPr="002F5554">
              <w:rPr>
                <w:b/>
                <w:sz w:val="26"/>
                <w:szCs w:val="26"/>
              </w:rPr>
              <w:fldChar w:fldCharType="separate"/>
            </w:r>
            <w:r w:rsidR="0010294F">
              <w:rPr>
                <w:b/>
                <w:noProof/>
                <w:sz w:val="26"/>
                <w:szCs w:val="26"/>
              </w:rPr>
              <w:t>2</w:t>
            </w:r>
            <w:r w:rsidRPr="002F5554">
              <w:rPr>
                <w:b/>
                <w:sz w:val="26"/>
                <w:szCs w:val="26"/>
              </w:rPr>
              <w:fldChar w:fldCharType="end"/>
            </w:r>
            <w:r w:rsidR="00A91EE5" w:rsidRPr="002F5554">
              <w:rPr>
                <w:rFonts w:eastAsia="Times New Roman"/>
                <w:b/>
                <w:bCs/>
                <w:color w:val="000000"/>
                <w:sz w:val="26"/>
                <w:szCs w:val="26"/>
              </w:rPr>
              <w:t>:</w:t>
            </w:r>
            <w:r w:rsidR="00A91EE5" w:rsidRPr="006F1120">
              <w:rPr>
                <w:rFonts w:eastAsia="Times New Roman"/>
                <w:b/>
                <w:bCs/>
                <w:color w:val="000000"/>
                <w:sz w:val="26"/>
                <w:szCs w:val="26"/>
              </w:rPr>
              <w:t xml:space="preserve"> InTASC Standards by Frequency</w:t>
            </w:r>
            <w:bookmarkEnd w:id="18"/>
          </w:p>
        </w:tc>
      </w:tr>
      <w:tr w:rsidR="00A91EE5" w:rsidRPr="006F1120" w14:paraId="26970326" w14:textId="77777777" w:rsidTr="003B4D0F">
        <w:trPr>
          <w:trHeight w:val="315"/>
        </w:trPr>
        <w:tc>
          <w:tcPr>
            <w:tcW w:w="8660" w:type="dxa"/>
            <w:gridSpan w:val="6"/>
            <w:tcBorders>
              <w:top w:val="nil"/>
              <w:left w:val="nil"/>
              <w:bottom w:val="single" w:sz="4" w:space="0" w:color="auto"/>
              <w:right w:val="nil"/>
            </w:tcBorders>
            <w:shd w:val="clear" w:color="auto" w:fill="auto"/>
            <w:noWrap/>
            <w:vAlign w:val="bottom"/>
            <w:hideMark/>
          </w:tcPr>
          <w:p w14:paraId="352D515C" w14:textId="77777777" w:rsidR="00A91EE5" w:rsidRPr="006F1120" w:rsidRDefault="00A91EE5" w:rsidP="003B4D0F">
            <w:pPr>
              <w:spacing w:after="0" w:line="240" w:lineRule="auto"/>
              <w:jc w:val="center"/>
              <w:rPr>
                <w:rFonts w:eastAsia="Times New Roman"/>
                <w:b/>
                <w:bCs/>
                <w:color w:val="000000"/>
                <w:szCs w:val="24"/>
              </w:rPr>
            </w:pPr>
            <w:r w:rsidRPr="006F1120">
              <w:rPr>
                <w:rFonts w:eastAsia="Times New Roman"/>
                <w:b/>
                <w:bCs/>
                <w:color w:val="000000"/>
                <w:szCs w:val="24"/>
              </w:rPr>
              <w:t xml:space="preserve"> and Percentage of Qualifiers</w:t>
            </w:r>
          </w:p>
        </w:tc>
      </w:tr>
      <w:tr w:rsidR="00A91EE5" w:rsidRPr="006F1120" w14:paraId="2F21FA5C" w14:textId="77777777" w:rsidTr="003B4D0F">
        <w:trPr>
          <w:trHeight w:val="300"/>
        </w:trPr>
        <w:tc>
          <w:tcPr>
            <w:tcW w:w="1622" w:type="dxa"/>
            <w:tcBorders>
              <w:top w:val="nil"/>
              <w:left w:val="nil"/>
              <w:bottom w:val="nil"/>
              <w:right w:val="nil"/>
            </w:tcBorders>
            <w:shd w:val="clear" w:color="auto" w:fill="auto"/>
            <w:noWrap/>
            <w:vAlign w:val="bottom"/>
            <w:hideMark/>
          </w:tcPr>
          <w:p w14:paraId="0A60A2A6" w14:textId="77777777" w:rsidR="00A91EE5" w:rsidRPr="006F1120" w:rsidRDefault="00A91EE5" w:rsidP="003B4D0F">
            <w:pPr>
              <w:spacing w:after="0" w:line="240" w:lineRule="auto"/>
              <w:rPr>
                <w:rFonts w:eastAsia="Times New Roman"/>
                <w:color w:val="000000"/>
                <w:sz w:val="22"/>
              </w:rPr>
            </w:pPr>
          </w:p>
        </w:tc>
        <w:tc>
          <w:tcPr>
            <w:tcW w:w="1167" w:type="dxa"/>
            <w:tcBorders>
              <w:top w:val="nil"/>
              <w:left w:val="nil"/>
              <w:bottom w:val="nil"/>
              <w:right w:val="nil"/>
            </w:tcBorders>
            <w:shd w:val="clear" w:color="auto" w:fill="auto"/>
            <w:noWrap/>
            <w:vAlign w:val="bottom"/>
            <w:hideMark/>
          </w:tcPr>
          <w:p w14:paraId="384C659D" w14:textId="77777777" w:rsidR="00A91EE5" w:rsidRPr="006F1120" w:rsidRDefault="00A91EE5" w:rsidP="003B4D0F">
            <w:pPr>
              <w:spacing w:after="0" w:line="240" w:lineRule="auto"/>
              <w:rPr>
                <w:rFonts w:eastAsia="Times New Roman"/>
                <w:color w:val="000000"/>
                <w:sz w:val="22"/>
              </w:rPr>
            </w:pPr>
          </w:p>
        </w:tc>
        <w:tc>
          <w:tcPr>
            <w:tcW w:w="1502" w:type="dxa"/>
            <w:tcBorders>
              <w:top w:val="nil"/>
              <w:left w:val="nil"/>
              <w:bottom w:val="nil"/>
              <w:right w:val="nil"/>
            </w:tcBorders>
            <w:shd w:val="clear" w:color="auto" w:fill="auto"/>
            <w:noWrap/>
            <w:vAlign w:val="bottom"/>
            <w:hideMark/>
          </w:tcPr>
          <w:p w14:paraId="65E3116C" w14:textId="77777777" w:rsidR="00A91EE5" w:rsidRPr="006F1120" w:rsidRDefault="00A91EE5" w:rsidP="003B4D0F">
            <w:pPr>
              <w:spacing w:after="0" w:line="240" w:lineRule="auto"/>
              <w:jc w:val="center"/>
              <w:rPr>
                <w:rFonts w:eastAsia="Times New Roman"/>
                <w:b/>
                <w:bCs/>
                <w:color w:val="000000"/>
                <w:sz w:val="22"/>
              </w:rPr>
            </w:pPr>
          </w:p>
        </w:tc>
        <w:tc>
          <w:tcPr>
            <w:tcW w:w="1347" w:type="dxa"/>
            <w:tcBorders>
              <w:top w:val="nil"/>
              <w:left w:val="nil"/>
              <w:bottom w:val="nil"/>
              <w:right w:val="nil"/>
            </w:tcBorders>
            <w:shd w:val="clear" w:color="auto" w:fill="auto"/>
            <w:noWrap/>
            <w:vAlign w:val="bottom"/>
            <w:hideMark/>
          </w:tcPr>
          <w:p w14:paraId="532050D2" w14:textId="77777777" w:rsidR="00A91EE5" w:rsidRPr="006F1120" w:rsidRDefault="00A91EE5" w:rsidP="003B4D0F">
            <w:pPr>
              <w:spacing w:after="0" w:line="240" w:lineRule="auto"/>
              <w:rPr>
                <w:rFonts w:eastAsia="Times New Roman"/>
                <w:color w:val="000000"/>
                <w:sz w:val="22"/>
              </w:rPr>
            </w:pPr>
          </w:p>
        </w:tc>
        <w:tc>
          <w:tcPr>
            <w:tcW w:w="1520" w:type="dxa"/>
            <w:tcBorders>
              <w:top w:val="nil"/>
              <w:left w:val="nil"/>
              <w:bottom w:val="nil"/>
              <w:right w:val="nil"/>
            </w:tcBorders>
            <w:shd w:val="clear" w:color="auto" w:fill="auto"/>
            <w:noWrap/>
            <w:vAlign w:val="bottom"/>
            <w:hideMark/>
          </w:tcPr>
          <w:p w14:paraId="19C97A68" w14:textId="77777777" w:rsidR="00A91EE5" w:rsidRPr="006F1120" w:rsidRDefault="00A91EE5" w:rsidP="003B4D0F">
            <w:pPr>
              <w:spacing w:after="0" w:line="240" w:lineRule="auto"/>
              <w:rPr>
                <w:rFonts w:eastAsia="Times New Roman"/>
                <w:color w:val="000000"/>
                <w:sz w:val="22"/>
              </w:rPr>
            </w:pPr>
          </w:p>
        </w:tc>
        <w:tc>
          <w:tcPr>
            <w:tcW w:w="1502" w:type="dxa"/>
            <w:tcBorders>
              <w:top w:val="nil"/>
              <w:left w:val="nil"/>
              <w:bottom w:val="nil"/>
              <w:right w:val="nil"/>
            </w:tcBorders>
            <w:shd w:val="clear" w:color="auto" w:fill="auto"/>
            <w:noWrap/>
            <w:vAlign w:val="bottom"/>
            <w:hideMark/>
          </w:tcPr>
          <w:p w14:paraId="6169B3C2"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Exemplary</w:t>
            </w:r>
          </w:p>
        </w:tc>
      </w:tr>
      <w:tr w:rsidR="00A91EE5" w:rsidRPr="006F1120" w14:paraId="6310A0E5" w14:textId="77777777" w:rsidTr="003B4D0F">
        <w:trPr>
          <w:trHeight w:val="300"/>
        </w:trPr>
        <w:tc>
          <w:tcPr>
            <w:tcW w:w="1622" w:type="dxa"/>
            <w:tcBorders>
              <w:top w:val="nil"/>
              <w:left w:val="nil"/>
              <w:bottom w:val="nil"/>
              <w:right w:val="nil"/>
            </w:tcBorders>
            <w:shd w:val="clear" w:color="auto" w:fill="auto"/>
            <w:noWrap/>
            <w:vAlign w:val="bottom"/>
            <w:hideMark/>
          </w:tcPr>
          <w:p w14:paraId="458E6FF1" w14:textId="77777777" w:rsidR="00A91EE5" w:rsidRPr="006F1120" w:rsidRDefault="00A91EE5" w:rsidP="003B4D0F">
            <w:pPr>
              <w:spacing w:after="0" w:line="240" w:lineRule="auto"/>
              <w:jc w:val="center"/>
              <w:rPr>
                <w:rFonts w:eastAsia="Times New Roman"/>
                <w:b/>
                <w:bCs/>
                <w:color w:val="000000"/>
                <w:sz w:val="22"/>
              </w:rPr>
            </w:pPr>
          </w:p>
        </w:tc>
        <w:tc>
          <w:tcPr>
            <w:tcW w:w="1167" w:type="dxa"/>
            <w:tcBorders>
              <w:top w:val="nil"/>
              <w:left w:val="nil"/>
              <w:bottom w:val="nil"/>
              <w:right w:val="nil"/>
            </w:tcBorders>
            <w:shd w:val="clear" w:color="auto" w:fill="auto"/>
            <w:noWrap/>
            <w:vAlign w:val="bottom"/>
            <w:hideMark/>
          </w:tcPr>
          <w:p w14:paraId="04694633"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Total #</w:t>
            </w:r>
          </w:p>
        </w:tc>
        <w:tc>
          <w:tcPr>
            <w:tcW w:w="1502" w:type="dxa"/>
            <w:tcBorders>
              <w:top w:val="nil"/>
              <w:left w:val="nil"/>
              <w:bottom w:val="nil"/>
              <w:right w:val="nil"/>
            </w:tcBorders>
            <w:shd w:val="clear" w:color="auto" w:fill="auto"/>
            <w:noWrap/>
            <w:vAlign w:val="bottom"/>
            <w:hideMark/>
          </w:tcPr>
          <w:p w14:paraId="55B6B73E"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Exemplary</w:t>
            </w:r>
          </w:p>
        </w:tc>
        <w:tc>
          <w:tcPr>
            <w:tcW w:w="1347" w:type="dxa"/>
            <w:tcBorders>
              <w:top w:val="nil"/>
              <w:left w:val="nil"/>
              <w:bottom w:val="nil"/>
              <w:right w:val="nil"/>
            </w:tcBorders>
            <w:shd w:val="clear" w:color="auto" w:fill="auto"/>
            <w:noWrap/>
            <w:vAlign w:val="bottom"/>
            <w:hideMark/>
          </w:tcPr>
          <w:p w14:paraId="5DA09F83"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Proficient</w:t>
            </w:r>
          </w:p>
        </w:tc>
        <w:tc>
          <w:tcPr>
            <w:tcW w:w="1520" w:type="dxa"/>
            <w:tcBorders>
              <w:top w:val="nil"/>
              <w:left w:val="nil"/>
              <w:bottom w:val="nil"/>
              <w:right w:val="nil"/>
            </w:tcBorders>
            <w:shd w:val="clear" w:color="auto" w:fill="auto"/>
            <w:noWrap/>
            <w:vAlign w:val="bottom"/>
            <w:hideMark/>
          </w:tcPr>
          <w:p w14:paraId="76144432"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Developing</w:t>
            </w:r>
          </w:p>
        </w:tc>
        <w:tc>
          <w:tcPr>
            <w:tcW w:w="1502" w:type="dxa"/>
            <w:tcBorders>
              <w:top w:val="nil"/>
              <w:left w:val="nil"/>
              <w:bottom w:val="nil"/>
              <w:right w:val="nil"/>
            </w:tcBorders>
            <w:shd w:val="clear" w:color="auto" w:fill="auto"/>
            <w:noWrap/>
            <w:vAlign w:val="bottom"/>
            <w:hideMark/>
          </w:tcPr>
          <w:p w14:paraId="028929AE"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Proficient</w:t>
            </w:r>
          </w:p>
        </w:tc>
      </w:tr>
      <w:tr w:rsidR="00A91EE5" w:rsidRPr="006F1120" w14:paraId="4466DA79" w14:textId="77777777" w:rsidTr="003B4D0F">
        <w:trPr>
          <w:trHeight w:val="300"/>
        </w:trPr>
        <w:tc>
          <w:tcPr>
            <w:tcW w:w="1622" w:type="dxa"/>
            <w:tcBorders>
              <w:top w:val="nil"/>
              <w:left w:val="nil"/>
              <w:bottom w:val="nil"/>
              <w:right w:val="nil"/>
            </w:tcBorders>
            <w:shd w:val="clear" w:color="auto" w:fill="auto"/>
            <w:noWrap/>
            <w:vAlign w:val="bottom"/>
            <w:hideMark/>
          </w:tcPr>
          <w:p w14:paraId="0FF9633D"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Standard</w:t>
            </w:r>
          </w:p>
        </w:tc>
        <w:tc>
          <w:tcPr>
            <w:tcW w:w="1167" w:type="dxa"/>
            <w:tcBorders>
              <w:top w:val="nil"/>
              <w:left w:val="nil"/>
              <w:bottom w:val="nil"/>
              <w:right w:val="nil"/>
            </w:tcBorders>
            <w:shd w:val="clear" w:color="auto" w:fill="auto"/>
            <w:noWrap/>
            <w:vAlign w:val="bottom"/>
            <w:hideMark/>
          </w:tcPr>
          <w:p w14:paraId="6D60D0CE"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Data Pts</w:t>
            </w:r>
          </w:p>
        </w:tc>
        <w:tc>
          <w:tcPr>
            <w:tcW w:w="1502" w:type="dxa"/>
            <w:tcBorders>
              <w:top w:val="nil"/>
              <w:left w:val="nil"/>
              <w:bottom w:val="nil"/>
              <w:right w:val="nil"/>
            </w:tcBorders>
            <w:shd w:val="clear" w:color="auto" w:fill="auto"/>
            <w:noWrap/>
            <w:vAlign w:val="bottom"/>
            <w:hideMark/>
          </w:tcPr>
          <w:p w14:paraId="36377123"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(3)</w:t>
            </w:r>
          </w:p>
        </w:tc>
        <w:tc>
          <w:tcPr>
            <w:tcW w:w="1347" w:type="dxa"/>
            <w:tcBorders>
              <w:top w:val="nil"/>
              <w:left w:val="nil"/>
              <w:bottom w:val="nil"/>
              <w:right w:val="nil"/>
            </w:tcBorders>
            <w:shd w:val="clear" w:color="auto" w:fill="auto"/>
            <w:noWrap/>
            <w:vAlign w:val="bottom"/>
            <w:hideMark/>
          </w:tcPr>
          <w:p w14:paraId="07FC20C3"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(2)</w:t>
            </w:r>
          </w:p>
        </w:tc>
        <w:tc>
          <w:tcPr>
            <w:tcW w:w="1520" w:type="dxa"/>
            <w:tcBorders>
              <w:top w:val="nil"/>
              <w:left w:val="nil"/>
              <w:bottom w:val="nil"/>
              <w:right w:val="nil"/>
            </w:tcBorders>
            <w:shd w:val="clear" w:color="auto" w:fill="auto"/>
            <w:noWrap/>
            <w:vAlign w:val="bottom"/>
            <w:hideMark/>
          </w:tcPr>
          <w:p w14:paraId="6E819288"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(1)</w:t>
            </w:r>
          </w:p>
        </w:tc>
        <w:tc>
          <w:tcPr>
            <w:tcW w:w="1502" w:type="dxa"/>
            <w:tcBorders>
              <w:top w:val="nil"/>
              <w:left w:val="nil"/>
              <w:bottom w:val="nil"/>
              <w:right w:val="nil"/>
            </w:tcBorders>
            <w:shd w:val="clear" w:color="auto" w:fill="auto"/>
            <w:noWrap/>
            <w:vAlign w:val="bottom"/>
            <w:hideMark/>
          </w:tcPr>
          <w:p w14:paraId="7BDF665C"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(2+3)</w:t>
            </w:r>
          </w:p>
        </w:tc>
      </w:tr>
      <w:tr w:rsidR="00A91EE5" w:rsidRPr="006F1120" w14:paraId="4252A8C3" w14:textId="77777777" w:rsidTr="003B4D0F">
        <w:trPr>
          <w:trHeight w:val="300"/>
        </w:trPr>
        <w:tc>
          <w:tcPr>
            <w:tcW w:w="1622" w:type="dxa"/>
            <w:tcBorders>
              <w:top w:val="single" w:sz="4" w:space="0" w:color="auto"/>
              <w:left w:val="nil"/>
              <w:bottom w:val="nil"/>
              <w:right w:val="nil"/>
            </w:tcBorders>
            <w:shd w:val="clear" w:color="auto" w:fill="auto"/>
            <w:noWrap/>
            <w:vAlign w:val="bottom"/>
            <w:hideMark/>
          </w:tcPr>
          <w:p w14:paraId="38D821F5" w14:textId="77777777" w:rsidR="00A91EE5" w:rsidRPr="004D30F3" w:rsidRDefault="00A91EE5" w:rsidP="003B4D0F">
            <w:pPr>
              <w:spacing w:after="0" w:line="240" w:lineRule="auto"/>
              <w:jc w:val="center"/>
              <w:rPr>
                <w:rFonts w:eastAsia="Times New Roman"/>
                <w:b/>
                <w:color w:val="000000"/>
                <w:sz w:val="22"/>
              </w:rPr>
            </w:pPr>
            <w:r w:rsidRPr="004D30F3">
              <w:rPr>
                <w:rFonts w:eastAsia="Times New Roman"/>
                <w:b/>
                <w:color w:val="000000"/>
                <w:sz w:val="22"/>
              </w:rPr>
              <w:t>InTASC 1</w:t>
            </w:r>
          </w:p>
        </w:tc>
        <w:tc>
          <w:tcPr>
            <w:tcW w:w="1167" w:type="dxa"/>
            <w:tcBorders>
              <w:top w:val="single" w:sz="4" w:space="0" w:color="auto"/>
              <w:left w:val="nil"/>
              <w:bottom w:val="nil"/>
              <w:right w:val="nil"/>
            </w:tcBorders>
            <w:shd w:val="clear" w:color="auto" w:fill="auto"/>
            <w:noWrap/>
            <w:vAlign w:val="bottom"/>
            <w:hideMark/>
          </w:tcPr>
          <w:p w14:paraId="569B9137"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372</w:t>
            </w:r>
          </w:p>
        </w:tc>
        <w:tc>
          <w:tcPr>
            <w:tcW w:w="1502" w:type="dxa"/>
            <w:tcBorders>
              <w:top w:val="single" w:sz="4" w:space="0" w:color="auto"/>
              <w:left w:val="nil"/>
              <w:bottom w:val="nil"/>
              <w:right w:val="nil"/>
            </w:tcBorders>
            <w:shd w:val="clear" w:color="auto" w:fill="auto"/>
            <w:noWrap/>
            <w:vAlign w:val="bottom"/>
            <w:hideMark/>
          </w:tcPr>
          <w:p w14:paraId="291EC353"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34</w:t>
            </w:r>
          </w:p>
        </w:tc>
        <w:tc>
          <w:tcPr>
            <w:tcW w:w="1347" w:type="dxa"/>
            <w:tcBorders>
              <w:top w:val="single" w:sz="4" w:space="0" w:color="auto"/>
              <w:left w:val="nil"/>
              <w:bottom w:val="nil"/>
              <w:right w:val="nil"/>
            </w:tcBorders>
            <w:shd w:val="clear" w:color="auto" w:fill="auto"/>
            <w:noWrap/>
            <w:vAlign w:val="bottom"/>
            <w:hideMark/>
          </w:tcPr>
          <w:p w14:paraId="1C38008D"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309</w:t>
            </w:r>
          </w:p>
        </w:tc>
        <w:tc>
          <w:tcPr>
            <w:tcW w:w="1520" w:type="dxa"/>
            <w:tcBorders>
              <w:top w:val="single" w:sz="4" w:space="0" w:color="auto"/>
              <w:left w:val="nil"/>
              <w:bottom w:val="nil"/>
              <w:right w:val="nil"/>
            </w:tcBorders>
            <w:shd w:val="clear" w:color="auto" w:fill="auto"/>
            <w:noWrap/>
            <w:vAlign w:val="bottom"/>
            <w:hideMark/>
          </w:tcPr>
          <w:p w14:paraId="2B79D9F2"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29</w:t>
            </w:r>
          </w:p>
        </w:tc>
        <w:tc>
          <w:tcPr>
            <w:tcW w:w="1502" w:type="dxa"/>
            <w:tcBorders>
              <w:top w:val="single" w:sz="4" w:space="0" w:color="auto"/>
              <w:left w:val="nil"/>
              <w:bottom w:val="nil"/>
              <w:right w:val="nil"/>
            </w:tcBorders>
            <w:shd w:val="clear" w:color="auto" w:fill="auto"/>
            <w:noWrap/>
            <w:vAlign w:val="bottom"/>
            <w:hideMark/>
          </w:tcPr>
          <w:p w14:paraId="7CAADFA5"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92%</w:t>
            </w:r>
          </w:p>
        </w:tc>
      </w:tr>
      <w:tr w:rsidR="00A91EE5" w:rsidRPr="006F1120" w14:paraId="1A46D041" w14:textId="77777777" w:rsidTr="003B4D0F">
        <w:trPr>
          <w:trHeight w:val="300"/>
        </w:trPr>
        <w:tc>
          <w:tcPr>
            <w:tcW w:w="1622" w:type="dxa"/>
            <w:tcBorders>
              <w:top w:val="nil"/>
              <w:left w:val="nil"/>
              <w:bottom w:val="nil"/>
              <w:right w:val="nil"/>
            </w:tcBorders>
            <w:shd w:val="clear" w:color="auto" w:fill="auto"/>
            <w:noWrap/>
            <w:vAlign w:val="bottom"/>
            <w:hideMark/>
          </w:tcPr>
          <w:p w14:paraId="7821295D" w14:textId="77777777" w:rsidR="00A91EE5" w:rsidRPr="004D30F3" w:rsidRDefault="00A91EE5" w:rsidP="003B4D0F">
            <w:pPr>
              <w:spacing w:after="0" w:line="240" w:lineRule="auto"/>
              <w:jc w:val="center"/>
              <w:rPr>
                <w:rFonts w:eastAsia="Times New Roman"/>
                <w:b/>
                <w:color w:val="000000"/>
                <w:sz w:val="22"/>
              </w:rPr>
            </w:pPr>
            <w:r w:rsidRPr="004D30F3">
              <w:rPr>
                <w:rFonts w:eastAsia="Times New Roman"/>
                <w:b/>
                <w:color w:val="000000"/>
                <w:sz w:val="22"/>
              </w:rPr>
              <w:t>InTASC 2</w:t>
            </w:r>
          </w:p>
        </w:tc>
        <w:tc>
          <w:tcPr>
            <w:tcW w:w="1167" w:type="dxa"/>
            <w:tcBorders>
              <w:top w:val="nil"/>
              <w:left w:val="nil"/>
              <w:bottom w:val="nil"/>
              <w:right w:val="nil"/>
            </w:tcBorders>
            <w:shd w:val="clear" w:color="auto" w:fill="auto"/>
            <w:noWrap/>
            <w:vAlign w:val="bottom"/>
            <w:hideMark/>
          </w:tcPr>
          <w:p w14:paraId="2B3CBD89"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282</w:t>
            </w:r>
          </w:p>
        </w:tc>
        <w:tc>
          <w:tcPr>
            <w:tcW w:w="1502" w:type="dxa"/>
            <w:tcBorders>
              <w:top w:val="nil"/>
              <w:left w:val="nil"/>
              <w:bottom w:val="nil"/>
              <w:right w:val="nil"/>
            </w:tcBorders>
            <w:shd w:val="clear" w:color="auto" w:fill="auto"/>
            <w:noWrap/>
            <w:vAlign w:val="bottom"/>
            <w:hideMark/>
          </w:tcPr>
          <w:p w14:paraId="54400836"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32</w:t>
            </w:r>
          </w:p>
        </w:tc>
        <w:tc>
          <w:tcPr>
            <w:tcW w:w="1347" w:type="dxa"/>
            <w:tcBorders>
              <w:top w:val="nil"/>
              <w:left w:val="nil"/>
              <w:bottom w:val="nil"/>
              <w:right w:val="nil"/>
            </w:tcBorders>
            <w:shd w:val="clear" w:color="auto" w:fill="auto"/>
            <w:noWrap/>
            <w:vAlign w:val="bottom"/>
            <w:hideMark/>
          </w:tcPr>
          <w:p w14:paraId="3787D87C"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236</w:t>
            </w:r>
          </w:p>
        </w:tc>
        <w:tc>
          <w:tcPr>
            <w:tcW w:w="1520" w:type="dxa"/>
            <w:tcBorders>
              <w:top w:val="nil"/>
              <w:left w:val="nil"/>
              <w:bottom w:val="nil"/>
              <w:right w:val="nil"/>
            </w:tcBorders>
            <w:shd w:val="clear" w:color="auto" w:fill="auto"/>
            <w:noWrap/>
            <w:vAlign w:val="bottom"/>
            <w:hideMark/>
          </w:tcPr>
          <w:p w14:paraId="7188D0DB"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14</w:t>
            </w:r>
          </w:p>
        </w:tc>
        <w:tc>
          <w:tcPr>
            <w:tcW w:w="1502" w:type="dxa"/>
            <w:tcBorders>
              <w:top w:val="nil"/>
              <w:left w:val="nil"/>
              <w:bottom w:val="nil"/>
              <w:right w:val="nil"/>
            </w:tcBorders>
            <w:shd w:val="clear" w:color="auto" w:fill="auto"/>
            <w:noWrap/>
            <w:vAlign w:val="bottom"/>
            <w:hideMark/>
          </w:tcPr>
          <w:p w14:paraId="28C14A29"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95%</w:t>
            </w:r>
          </w:p>
        </w:tc>
      </w:tr>
      <w:tr w:rsidR="00A91EE5" w:rsidRPr="006F1120" w14:paraId="47EB4F82" w14:textId="77777777" w:rsidTr="003B4D0F">
        <w:trPr>
          <w:trHeight w:val="300"/>
        </w:trPr>
        <w:tc>
          <w:tcPr>
            <w:tcW w:w="1622" w:type="dxa"/>
            <w:tcBorders>
              <w:top w:val="nil"/>
              <w:left w:val="nil"/>
              <w:bottom w:val="nil"/>
              <w:right w:val="nil"/>
            </w:tcBorders>
            <w:shd w:val="clear" w:color="auto" w:fill="auto"/>
            <w:noWrap/>
            <w:vAlign w:val="bottom"/>
            <w:hideMark/>
          </w:tcPr>
          <w:p w14:paraId="29AFFA6C" w14:textId="77777777" w:rsidR="00A91EE5" w:rsidRPr="004D30F3" w:rsidRDefault="00A91EE5" w:rsidP="003B4D0F">
            <w:pPr>
              <w:spacing w:after="0" w:line="240" w:lineRule="auto"/>
              <w:jc w:val="center"/>
              <w:rPr>
                <w:rFonts w:eastAsia="Times New Roman"/>
                <w:b/>
                <w:color w:val="000000"/>
                <w:sz w:val="22"/>
              </w:rPr>
            </w:pPr>
            <w:r w:rsidRPr="004D30F3">
              <w:rPr>
                <w:rFonts w:eastAsia="Times New Roman"/>
                <w:b/>
                <w:color w:val="000000"/>
                <w:sz w:val="22"/>
              </w:rPr>
              <w:t>InTASC 3</w:t>
            </w:r>
          </w:p>
        </w:tc>
        <w:tc>
          <w:tcPr>
            <w:tcW w:w="1167" w:type="dxa"/>
            <w:tcBorders>
              <w:top w:val="nil"/>
              <w:left w:val="nil"/>
              <w:bottom w:val="nil"/>
              <w:right w:val="nil"/>
            </w:tcBorders>
            <w:shd w:val="clear" w:color="auto" w:fill="auto"/>
            <w:noWrap/>
            <w:vAlign w:val="bottom"/>
            <w:hideMark/>
          </w:tcPr>
          <w:p w14:paraId="5F26CC89"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384</w:t>
            </w:r>
          </w:p>
        </w:tc>
        <w:tc>
          <w:tcPr>
            <w:tcW w:w="1502" w:type="dxa"/>
            <w:tcBorders>
              <w:top w:val="nil"/>
              <w:left w:val="nil"/>
              <w:bottom w:val="nil"/>
              <w:right w:val="nil"/>
            </w:tcBorders>
            <w:shd w:val="clear" w:color="auto" w:fill="auto"/>
            <w:noWrap/>
            <w:vAlign w:val="bottom"/>
            <w:hideMark/>
          </w:tcPr>
          <w:p w14:paraId="6E8192A9"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79</w:t>
            </w:r>
          </w:p>
        </w:tc>
        <w:tc>
          <w:tcPr>
            <w:tcW w:w="1347" w:type="dxa"/>
            <w:tcBorders>
              <w:top w:val="nil"/>
              <w:left w:val="nil"/>
              <w:bottom w:val="nil"/>
              <w:right w:val="nil"/>
            </w:tcBorders>
            <w:shd w:val="clear" w:color="auto" w:fill="auto"/>
            <w:noWrap/>
            <w:vAlign w:val="bottom"/>
            <w:hideMark/>
          </w:tcPr>
          <w:p w14:paraId="7BE45700"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216</w:t>
            </w:r>
          </w:p>
        </w:tc>
        <w:tc>
          <w:tcPr>
            <w:tcW w:w="1520" w:type="dxa"/>
            <w:tcBorders>
              <w:top w:val="nil"/>
              <w:left w:val="nil"/>
              <w:bottom w:val="nil"/>
              <w:right w:val="nil"/>
            </w:tcBorders>
            <w:shd w:val="clear" w:color="auto" w:fill="auto"/>
            <w:noWrap/>
            <w:vAlign w:val="bottom"/>
            <w:hideMark/>
          </w:tcPr>
          <w:p w14:paraId="01EA93B7"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89</w:t>
            </w:r>
          </w:p>
        </w:tc>
        <w:tc>
          <w:tcPr>
            <w:tcW w:w="1502" w:type="dxa"/>
            <w:tcBorders>
              <w:top w:val="nil"/>
              <w:left w:val="nil"/>
              <w:bottom w:val="nil"/>
              <w:right w:val="nil"/>
            </w:tcBorders>
            <w:shd w:val="clear" w:color="auto" w:fill="auto"/>
            <w:noWrap/>
            <w:vAlign w:val="bottom"/>
            <w:hideMark/>
          </w:tcPr>
          <w:p w14:paraId="1F317893"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77%</w:t>
            </w:r>
          </w:p>
        </w:tc>
      </w:tr>
      <w:tr w:rsidR="00A91EE5" w:rsidRPr="006F1120" w14:paraId="407272D1" w14:textId="77777777" w:rsidTr="003B4D0F">
        <w:trPr>
          <w:trHeight w:val="300"/>
        </w:trPr>
        <w:tc>
          <w:tcPr>
            <w:tcW w:w="1622" w:type="dxa"/>
            <w:tcBorders>
              <w:top w:val="nil"/>
              <w:left w:val="nil"/>
              <w:bottom w:val="nil"/>
              <w:right w:val="nil"/>
            </w:tcBorders>
            <w:shd w:val="clear" w:color="auto" w:fill="auto"/>
            <w:noWrap/>
            <w:vAlign w:val="bottom"/>
            <w:hideMark/>
          </w:tcPr>
          <w:p w14:paraId="2956103C" w14:textId="77777777" w:rsidR="00A91EE5" w:rsidRPr="004D30F3" w:rsidRDefault="00A91EE5" w:rsidP="003B4D0F">
            <w:pPr>
              <w:spacing w:after="0" w:line="240" w:lineRule="auto"/>
              <w:jc w:val="center"/>
              <w:rPr>
                <w:rFonts w:eastAsia="Times New Roman"/>
                <w:b/>
                <w:color w:val="000000"/>
                <w:sz w:val="22"/>
              </w:rPr>
            </w:pPr>
            <w:r w:rsidRPr="004D30F3">
              <w:rPr>
                <w:rFonts w:eastAsia="Times New Roman"/>
                <w:b/>
                <w:color w:val="000000"/>
                <w:sz w:val="22"/>
              </w:rPr>
              <w:t>InTASC 4</w:t>
            </w:r>
          </w:p>
        </w:tc>
        <w:tc>
          <w:tcPr>
            <w:tcW w:w="1167" w:type="dxa"/>
            <w:tcBorders>
              <w:top w:val="nil"/>
              <w:left w:val="nil"/>
              <w:bottom w:val="nil"/>
              <w:right w:val="nil"/>
            </w:tcBorders>
            <w:shd w:val="clear" w:color="auto" w:fill="auto"/>
            <w:noWrap/>
            <w:vAlign w:val="bottom"/>
            <w:hideMark/>
          </w:tcPr>
          <w:p w14:paraId="65B997C0"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380</w:t>
            </w:r>
          </w:p>
        </w:tc>
        <w:tc>
          <w:tcPr>
            <w:tcW w:w="1502" w:type="dxa"/>
            <w:tcBorders>
              <w:top w:val="nil"/>
              <w:left w:val="nil"/>
              <w:bottom w:val="nil"/>
              <w:right w:val="nil"/>
            </w:tcBorders>
            <w:shd w:val="clear" w:color="auto" w:fill="auto"/>
            <w:noWrap/>
            <w:vAlign w:val="bottom"/>
            <w:hideMark/>
          </w:tcPr>
          <w:p w14:paraId="1BFF854E"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42</w:t>
            </w:r>
          </w:p>
        </w:tc>
        <w:tc>
          <w:tcPr>
            <w:tcW w:w="1347" w:type="dxa"/>
            <w:tcBorders>
              <w:top w:val="nil"/>
              <w:left w:val="nil"/>
              <w:bottom w:val="nil"/>
              <w:right w:val="nil"/>
            </w:tcBorders>
            <w:shd w:val="clear" w:color="auto" w:fill="auto"/>
            <w:noWrap/>
            <w:vAlign w:val="bottom"/>
            <w:hideMark/>
          </w:tcPr>
          <w:p w14:paraId="34A9D209"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310</w:t>
            </w:r>
          </w:p>
        </w:tc>
        <w:tc>
          <w:tcPr>
            <w:tcW w:w="1520" w:type="dxa"/>
            <w:tcBorders>
              <w:top w:val="nil"/>
              <w:left w:val="nil"/>
              <w:bottom w:val="nil"/>
              <w:right w:val="nil"/>
            </w:tcBorders>
            <w:shd w:val="clear" w:color="auto" w:fill="auto"/>
            <w:noWrap/>
            <w:vAlign w:val="bottom"/>
            <w:hideMark/>
          </w:tcPr>
          <w:p w14:paraId="71EB6ECB"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28</w:t>
            </w:r>
          </w:p>
        </w:tc>
        <w:tc>
          <w:tcPr>
            <w:tcW w:w="1502" w:type="dxa"/>
            <w:tcBorders>
              <w:top w:val="nil"/>
              <w:left w:val="nil"/>
              <w:bottom w:val="nil"/>
              <w:right w:val="nil"/>
            </w:tcBorders>
            <w:shd w:val="clear" w:color="auto" w:fill="auto"/>
            <w:noWrap/>
            <w:vAlign w:val="bottom"/>
            <w:hideMark/>
          </w:tcPr>
          <w:p w14:paraId="7006658B"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93%</w:t>
            </w:r>
          </w:p>
        </w:tc>
      </w:tr>
      <w:tr w:rsidR="00A91EE5" w:rsidRPr="006F1120" w14:paraId="0B4217E0" w14:textId="77777777" w:rsidTr="003B4D0F">
        <w:trPr>
          <w:trHeight w:val="300"/>
        </w:trPr>
        <w:tc>
          <w:tcPr>
            <w:tcW w:w="1622" w:type="dxa"/>
            <w:tcBorders>
              <w:top w:val="nil"/>
              <w:left w:val="nil"/>
              <w:bottom w:val="nil"/>
              <w:right w:val="nil"/>
            </w:tcBorders>
            <w:shd w:val="clear" w:color="auto" w:fill="auto"/>
            <w:noWrap/>
            <w:vAlign w:val="bottom"/>
            <w:hideMark/>
          </w:tcPr>
          <w:p w14:paraId="01AB965E" w14:textId="77777777" w:rsidR="00A91EE5" w:rsidRPr="004D30F3" w:rsidRDefault="00A91EE5" w:rsidP="003B4D0F">
            <w:pPr>
              <w:spacing w:after="0" w:line="240" w:lineRule="auto"/>
              <w:jc w:val="center"/>
              <w:rPr>
                <w:rFonts w:eastAsia="Times New Roman"/>
                <w:b/>
                <w:color w:val="000000"/>
                <w:sz w:val="22"/>
              </w:rPr>
            </w:pPr>
            <w:r w:rsidRPr="004D30F3">
              <w:rPr>
                <w:rFonts w:eastAsia="Times New Roman"/>
                <w:b/>
                <w:color w:val="000000"/>
                <w:sz w:val="22"/>
              </w:rPr>
              <w:t>InTASC 5</w:t>
            </w:r>
          </w:p>
        </w:tc>
        <w:tc>
          <w:tcPr>
            <w:tcW w:w="1167" w:type="dxa"/>
            <w:tcBorders>
              <w:top w:val="nil"/>
              <w:left w:val="nil"/>
              <w:bottom w:val="nil"/>
              <w:right w:val="nil"/>
            </w:tcBorders>
            <w:shd w:val="clear" w:color="auto" w:fill="auto"/>
            <w:noWrap/>
            <w:vAlign w:val="bottom"/>
            <w:hideMark/>
          </w:tcPr>
          <w:p w14:paraId="2EB450D7"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284</w:t>
            </w:r>
          </w:p>
        </w:tc>
        <w:tc>
          <w:tcPr>
            <w:tcW w:w="1502" w:type="dxa"/>
            <w:tcBorders>
              <w:top w:val="nil"/>
              <w:left w:val="nil"/>
              <w:bottom w:val="nil"/>
              <w:right w:val="nil"/>
            </w:tcBorders>
            <w:shd w:val="clear" w:color="auto" w:fill="auto"/>
            <w:noWrap/>
            <w:vAlign w:val="bottom"/>
            <w:hideMark/>
          </w:tcPr>
          <w:p w14:paraId="568E26E4"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40</w:t>
            </w:r>
          </w:p>
        </w:tc>
        <w:tc>
          <w:tcPr>
            <w:tcW w:w="1347" w:type="dxa"/>
            <w:tcBorders>
              <w:top w:val="nil"/>
              <w:left w:val="nil"/>
              <w:bottom w:val="nil"/>
              <w:right w:val="nil"/>
            </w:tcBorders>
            <w:shd w:val="clear" w:color="auto" w:fill="auto"/>
            <w:noWrap/>
            <w:vAlign w:val="bottom"/>
            <w:hideMark/>
          </w:tcPr>
          <w:p w14:paraId="2676E10E"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219</w:t>
            </w:r>
          </w:p>
        </w:tc>
        <w:tc>
          <w:tcPr>
            <w:tcW w:w="1520" w:type="dxa"/>
            <w:tcBorders>
              <w:top w:val="nil"/>
              <w:left w:val="nil"/>
              <w:bottom w:val="nil"/>
              <w:right w:val="nil"/>
            </w:tcBorders>
            <w:shd w:val="clear" w:color="auto" w:fill="auto"/>
            <w:noWrap/>
            <w:vAlign w:val="bottom"/>
            <w:hideMark/>
          </w:tcPr>
          <w:p w14:paraId="39A4A2F7"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25</w:t>
            </w:r>
          </w:p>
        </w:tc>
        <w:tc>
          <w:tcPr>
            <w:tcW w:w="1502" w:type="dxa"/>
            <w:tcBorders>
              <w:top w:val="nil"/>
              <w:left w:val="nil"/>
              <w:bottom w:val="nil"/>
              <w:right w:val="nil"/>
            </w:tcBorders>
            <w:shd w:val="clear" w:color="auto" w:fill="auto"/>
            <w:noWrap/>
            <w:vAlign w:val="bottom"/>
            <w:hideMark/>
          </w:tcPr>
          <w:p w14:paraId="7C0C9F24"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91%</w:t>
            </w:r>
          </w:p>
        </w:tc>
      </w:tr>
      <w:tr w:rsidR="00A91EE5" w:rsidRPr="006F1120" w14:paraId="17C8113A" w14:textId="77777777" w:rsidTr="003B4D0F">
        <w:trPr>
          <w:trHeight w:val="300"/>
        </w:trPr>
        <w:tc>
          <w:tcPr>
            <w:tcW w:w="1622" w:type="dxa"/>
            <w:tcBorders>
              <w:top w:val="nil"/>
              <w:left w:val="nil"/>
              <w:bottom w:val="nil"/>
              <w:right w:val="nil"/>
            </w:tcBorders>
            <w:shd w:val="clear" w:color="auto" w:fill="auto"/>
            <w:noWrap/>
            <w:vAlign w:val="bottom"/>
            <w:hideMark/>
          </w:tcPr>
          <w:p w14:paraId="019AA028" w14:textId="77777777" w:rsidR="00A91EE5" w:rsidRPr="004D30F3" w:rsidRDefault="00A91EE5" w:rsidP="003B4D0F">
            <w:pPr>
              <w:spacing w:after="0" w:line="240" w:lineRule="auto"/>
              <w:jc w:val="center"/>
              <w:rPr>
                <w:rFonts w:eastAsia="Times New Roman"/>
                <w:b/>
                <w:color w:val="000000"/>
                <w:sz w:val="22"/>
              </w:rPr>
            </w:pPr>
            <w:r w:rsidRPr="004D30F3">
              <w:rPr>
                <w:rFonts w:eastAsia="Times New Roman"/>
                <w:b/>
                <w:color w:val="000000"/>
                <w:sz w:val="22"/>
              </w:rPr>
              <w:t>InTASC 6</w:t>
            </w:r>
          </w:p>
        </w:tc>
        <w:tc>
          <w:tcPr>
            <w:tcW w:w="1167" w:type="dxa"/>
            <w:tcBorders>
              <w:top w:val="nil"/>
              <w:left w:val="nil"/>
              <w:bottom w:val="nil"/>
              <w:right w:val="nil"/>
            </w:tcBorders>
            <w:shd w:val="clear" w:color="auto" w:fill="auto"/>
            <w:noWrap/>
            <w:vAlign w:val="bottom"/>
            <w:hideMark/>
          </w:tcPr>
          <w:p w14:paraId="23FEBF5A"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205</w:t>
            </w:r>
          </w:p>
        </w:tc>
        <w:tc>
          <w:tcPr>
            <w:tcW w:w="1502" w:type="dxa"/>
            <w:tcBorders>
              <w:top w:val="nil"/>
              <w:left w:val="nil"/>
              <w:bottom w:val="nil"/>
              <w:right w:val="nil"/>
            </w:tcBorders>
            <w:shd w:val="clear" w:color="auto" w:fill="auto"/>
            <w:noWrap/>
            <w:vAlign w:val="bottom"/>
            <w:hideMark/>
          </w:tcPr>
          <w:p w14:paraId="7EFFA899"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31</w:t>
            </w:r>
          </w:p>
        </w:tc>
        <w:tc>
          <w:tcPr>
            <w:tcW w:w="1347" w:type="dxa"/>
            <w:tcBorders>
              <w:top w:val="nil"/>
              <w:left w:val="nil"/>
              <w:bottom w:val="nil"/>
              <w:right w:val="nil"/>
            </w:tcBorders>
            <w:shd w:val="clear" w:color="auto" w:fill="auto"/>
            <w:noWrap/>
            <w:vAlign w:val="bottom"/>
            <w:hideMark/>
          </w:tcPr>
          <w:p w14:paraId="30F3F72C"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158</w:t>
            </w:r>
          </w:p>
        </w:tc>
        <w:tc>
          <w:tcPr>
            <w:tcW w:w="1520" w:type="dxa"/>
            <w:tcBorders>
              <w:top w:val="nil"/>
              <w:left w:val="nil"/>
              <w:bottom w:val="nil"/>
              <w:right w:val="nil"/>
            </w:tcBorders>
            <w:shd w:val="clear" w:color="auto" w:fill="auto"/>
            <w:noWrap/>
            <w:vAlign w:val="bottom"/>
            <w:hideMark/>
          </w:tcPr>
          <w:p w14:paraId="1A5E1F57"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16</w:t>
            </w:r>
          </w:p>
        </w:tc>
        <w:tc>
          <w:tcPr>
            <w:tcW w:w="1502" w:type="dxa"/>
            <w:tcBorders>
              <w:top w:val="nil"/>
              <w:left w:val="nil"/>
              <w:bottom w:val="nil"/>
              <w:right w:val="nil"/>
            </w:tcBorders>
            <w:shd w:val="clear" w:color="auto" w:fill="auto"/>
            <w:noWrap/>
            <w:vAlign w:val="bottom"/>
            <w:hideMark/>
          </w:tcPr>
          <w:p w14:paraId="27E5039B"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92%</w:t>
            </w:r>
          </w:p>
        </w:tc>
      </w:tr>
      <w:tr w:rsidR="00A91EE5" w:rsidRPr="006F1120" w14:paraId="4F1D917F" w14:textId="77777777" w:rsidTr="003B4D0F">
        <w:trPr>
          <w:trHeight w:val="300"/>
        </w:trPr>
        <w:tc>
          <w:tcPr>
            <w:tcW w:w="1622" w:type="dxa"/>
            <w:tcBorders>
              <w:top w:val="nil"/>
              <w:left w:val="nil"/>
              <w:bottom w:val="nil"/>
              <w:right w:val="nil"/>
            </w:tcBorders>
            <w:shd w:val="clear" w:color="auto" w:fill="auto"/>
            <w:noWrap/>
            <w:vAlign w:val="bottom"/>
            <w:hideMark/>
          </w:tcPr>
          <w:p w14:paraId="71498F38" w14:textId="77777777" w:rsidR="00A91EE5" w:rsidRPr="004D30F3" w:rsidRDefault="00A91EE5" w:rsidP="003B4D0F">
            <w:pPr>
              <w:spacing w:after="0" w:line="240" w:lineRule="auto"/>
              <w:jc w:val="center"/>
              <w:rPr>
                <w:rFonts w:eastAsia="Times New Roman"/>
                <w:b/>
                <w:color w:val="000000"/>
                <w:sz w:val="22"/>
              </w:rPr>
            </w:pPr>
            <w:r w:rsidRPr="004D30F3">
              <w:rPr>
                <w:rFonts w:eastAsia="Times New Roman"/>
                <w:b/>
                <w:color w:val="000000"/>
                <w:sz w:val="22"/>
              </w:rPr>
              <w:t>InTASC 7</w:t>
            </w:r>
          </w:p>
        </w:tc>
        <w:tc>
          <w:tcPr>
            <w:tcW w:w="1167" w:type="dxa"/>
            <w:tcBorders>
              <w:top w:val="nil"/>
              <w:left w:val="nil"/>
              <w:bottom w:val="nil"/>
              <w:right w:val="nil"/>
            </w:tcBorders>
            <w:shd w:val="clear" w:color="auto" w:fill="auto"/>
            <w:noWrap/>
            <w:vAlign w:val="bottom"/>
            <w:hideMark/>
          </w:tcPr>
          <w:p w14:paraId="2E085D8B"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251</w:t>
            </w:r>
          </w:p>
        </w:tc>
        <w:tc>
          <w:tcPr>
            <w:tcW w:w="1502" w:type="dxa"/>
            <w:tcBorders>
              <w:top w:val="nil"/>
              <w:left w:val="nil"/>
              <w:bottom w:val="nil"/>
              <w:right w:val="nil"/>
            </w:tcBorders>
            <w:shd w:val="clear" w:color="auto" w:fill="auto"/>
            <w:noWrap/>
            <w:vAlign w:val="bottom"/>
            <w:hideMark/>
          </w:tcPr>
          <w:p w14:paraId="11F95D43"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25</w:t>
            </w:r>
          </w:p>
        </w:tc>
        <w:tc>
          <w:tcPr>
            <w:tcW w:w="1347" w:type="dxa"/>
            <w:tcBorders>
              <w:top w:val="nil"/>
              <w:left w:val="nil"/>
              <w:bottom w:val="nil"/>
              <w:right w:val="nil"/>
            </w:tcBorders>
            <w:shd w:val="clear" w:color="auto" w:fill="auto"/>
            <w:noWrap/>
            <w:vAlign w:val="bottom"/>
            <w:hideMark/>
          </w:tcPr>
          <w:p w14:paraId="267B9CEC"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205</w:t>
            </w:r>
          </w:p>
        </w:tc>
        <w:tc>
          <w:tcPr>
            <w:tcW w:w="1520" w:type="dxa"/>
            <w:tcBorders>
              <w:top w:val="nil"/>
              <w:left w:val="nil"/>
              <w:bottom w:val="nil"/>
              <w:right w:val="nil"/>
            </w:tcBorders>
            <w:shd w:val="clear" w:color="auto" w:fill="auto"/>
            <w:noWrap/>
            <w:vAlign w:val="bottom"/>
            <w:hideMark/>
          </w:tcPr>
          <w:p w14:paraId="6F3FCB72"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21</w:t>
            </w:r>
          </w:p>
        </w:tc>
        <w:tc>
          <w:tcPr>
            <w:tcW w:w="1502" w:type="dxa"/>
            <w:tcBorders>
              <w:top w:val="nil"/>
              <w:left w:val="nil"/>
              <w:bottom w:val="nil"/>
              <w:right w:val="nil"/>
            </w:tcBorders>
            <w:shd w:val="clear" w:color="auto" w:fill="auto"/>
            <w:noWrap/>
            <w:vAlign w:val="bottom"/>
            <w:hideMark/>
          </w:tcPr>
          <w:p w14:paraId="7D6CB9B7"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92%</w:t>
            </w:r>
          </w:p>
        </w:tc>
      </w:tr>
      <w:tr w:rsidR="00A91EE5" w:rsidRPr="006F1120" w14:paraId="009E4A88" w14:textId="77777777" w:rsidTr="003B4D0F">
        <w:trPr>
          <w:trHeight w:val="300"/>
        </w:trPr>
        <w:tc>
          <w:tcPr>
            <w:tcW w:w="1622" w:type="dxa"/>
            <w:tcBorders>
              <w:top w:val="nil"/>
              <w:left w:val="nil"/>
              <w:bottom w:val="nil"/>
              <w:right w:val="nil"/>
            </w:tcBorders>
            <w:shd w:val="clear" w:color="auto" w:fill="auto"/>
            <w:noWrap/>
            <w:vAlign w:val="bottom"/>
            <w:hideMark/>
          </w:tcPr>
          <w:p w14:paraId="3C63A442" w14:textId="77777777" w:rsidR="00A91EE5" w:rsidRPr="004D30F3" w:rsidRDefault="00A91EE5" w:rsidP="003B4D0F">
            <w:pPr>
              <w:spacing w:after="0" w:line="240" w:lineRule="auto"/>
              <w:jc w:val="center"/>
              <w:rPr>
                <w:rFonts w:eastAsia="Times New Roman"/>
                <w:b/>
                <w:color w:val="000000"/>
                <w:sz w:val="22"/>
              </w:rPr>
            </w:pPr>
            <w:r w:rsidRPr="004D30F3">
              <w:rPr>
                <w:rFonts w:eastAsia="Times New Roman"/>
                <w:b/>
                <w:color w:val="000000"/>
                <w:sz w:val="22"/>
              </w:rPr>
              <w:t>InTASC 8</w:t>
            </w:r>
          </w:p>
        </w:tc>
        <w:tc>
          <w:tcPr>
            <w:tcW w:w="1167" w:type="dxa"/>
            <w:tcBorders>
              <w:top w:val="nil"/>
              <w:left w:val="nil"/>
              <w:bottom w:val="nil"/>
              <w:right w:val="nil"/>
            </w:tcBorders>
            <w:shd w:val="clear" w:color="auto" w:fill="auto"/>
            <w:noWrap/>
            <w:vAlign w:val="bottom"/>
            <w:hideMark/>
          </w:tcPr>
          <w:p w14:paraId="55A139C3"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236</w:t>
            </w:r>
          </w:p>
        </w:tc>
        <w:tc>
          <w:tcPr>
            <w:tcW w:w="1502" w:type="dxa"/>
            <w:tcBorders>
              <w:top w:val="nil"/>
              <w:left w:val="nil"/>
              <w:bottom w:val="nil"/>
              <w:right w:val="nil"/>
            </w:tcBorders>
            <w:shd w:val="clear" w:color="auto" w:fill="auto"/>
            <w:noWrap/>
            <w:vAlign w:val="bottom"/>
            <w:hideMark/>
          </w:tcPr>
          <w:p w14:paraId="2531DA1D"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38</w:t>
            </w:r>
          </w:p>
        </w:tc>
        <w:tc>
          <w:tcPr>
            <w:tcW w:w="1347" w:type="dxa"/>
            <w:tcBorders>
              <w:top w:val="nil"/>
              <w:left w:val="nil"/>
              <w:bottom w:val="nil"/>
              <w:right w:val="nil"/>
            </w:tcBorders>
            <w:shd w:val="clear" w:color="auto" w:fill="auto"/>
            <w:noWrap/>
            <w:vAlign w:val="bottom"/>
            <w:hideMark/>
          </w:tcPr>
          <w:p w14:paraId="04895013"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176</w:t>
            </w:r>
          </w:p>
        </w:tc>
        <w:tc>
          <w:tcPr>
            <w:tcW w:w="1520" w:type="dxa"/>
            <w:tcBorders>
              <w:top w:val="nil"/>
              <w:left w:val="nil"/>
              <w:bottom w:val="nil"/>
              <w:right w:val="nil"/>
            </w:tcBorders>
            <w:shd w:val="clear" w:color="auto" w:fill="auto"/>
            <w:noWrap/>
            <w:vAlign w:val="bottom"/>
            <w:hideMark/>
          </w:tcPr>
          <w:p w14:paraId="22D18B99"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22</w:t>
            </w:r>
          </w:p>
        </w:tc>
        <w:tc>
          <w:tcPr>
            <w:tcW w:w="1502" w:type="dxa"/>
            <w:tcBorders>
              <w:top w:val="nil"/>
              <w:left w:val="nil"/>
              <w:bottom w:val="nil"/>
              <w:right w:val="nil"/>
            </w:tcBorders>
            <w:shd w:val="clear" w:color="auto" w:fill="auto"/>
            <w:noWrap/>
            <w:vAlign w:val="bottom"/>
            <w:hideMark/>
          </w:tcPr>
          <w:p w14:paraId="5BE523E1"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91%</w:t>
            </w:r>
          </w:p>
        </w:tc>
      </w:tr>
      <w:tr w:rsidR="00A91EE5" w:rsidRPr="006F1120" w14:paraId="56566535" w14:textId="77777777" w:rsidTr="003B4D0F">
        <w:trPr>
          <w:trHeight w:val="300"/>
        </w:trPr>
        <w:tc>
          <w:tcPr>
            <w:tcW w:w="1622" w:type="dxa"/>
            <w:tcBorders>
              <w:top w:val="nil"/>
              <w:left w:val="nil"/>
              <w:bottom w:val="nil"/>
              <w:right w:val="nil"/>
            </w:tcBorders>
            <w:shd w:val="clear" w:color="auto" w:fill="auto"/>
            <w:noWrap/>
            <w:vAlign w:val="bottom"/>
            <w:hideMark/>
          </w:tcPr>
          <w:p w14:paraId="539DE413" w14:textId="77777777" w:rsidR="00A91EE5" w:rsidRPr="004D30F3" w:rsidRDefault="00A91EE5" w:rsidP="003B4D0F">
            <w:pPr>
              <w:spacing w:after="0" w:line="240" w:lineRule="auto"/>
              <w:jc w:val="center"/>
              <w:rPr>
                <w:rFonts w:eastAsia="Times New Roman"/>
                <w:b/>
                <w:color w:val="000000"/>
                <w:sz w:val="22"/>
              </w:rPr>
            </w:pPr>
            <w:r w:rsidRPr="004D30F3">
              <w:rPr>
                <w:rFonts w:eastAsia="Times New Roman"/>
                <w:b/>
                <w:color w:val="000000"/>
                <w:sz w:val="22"/>
              </w:rPr>
              <w:t>InTASC 9</w:t>
            </w:r>
          </w:p>
        </w:tc>
        <w:tc>
          <w:tcPr>
            <w:tcW w:w="1167" w:type="dxa"/>
            <w:tcBorders>
              <w:top w:val="nil"/>
              <w:left w:val="nil"/>
              <w:bottom w:val="nil"/>
              <w:right w:val="nil"/>
            </w:tcBorders>
            <w:shd w:val="clear" w:color="auto" w:fill="auto"/>
            <w:noWrap/>
            <w:vAlign w:val="bottom"/>
            <w:hideMark/>
          </w:tcPr>
          <w:p w14:paraId="6B438E3C"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352</w:t>
            </w:r>
          </w:p>
        </w:tc>
        <w:tc>
          <w:tcPr>
            <w:tcW w:w="1502" w:type="dxa"/>
            <w:tcBorders>
              <w:top w:val="nil"/>
              <w:left w:val="nil"/>
              <w:bottom w:val="nil"/>
              <w:right w:val="nil"/>
            </w:tcBorders>
            <w:shd w:val="clear" w:color="auto" w:fill="auto"/>
            <w:noWrap/>
            <w:vAlign w:val="bottom"/>
            <w:hideMark/>
          </w:tcPr>
          <w:p w14:paraId="19B4773B"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42</w:t>
            </w:r>
          </w:p>
        </w:tc>
        <w:tc>
          <w:tcPr>
            <w:tcW w:w="1347" w:type="dxa"/>
            <w:tcBorders>
              <w:top w:val="nil"/>
              <w:left w:val="nil"/>
              <w:bottom w:val="nil"/>
              <w:right w:val="nil"/>
            </w:tcBorders>
            <w:shd w:val="clear" w:color="auto" w:fill="auto"/>
            <w:noWrap/>
            <w:vAlign w:val="bottom"/>
            <w:hideMark/>
          </w:tcPr>
          <w:p w14:paraId="3B4EC769"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275</w:t>
            </w:r>
          </w:p>
        </w:tc>
        <w:tc>
          <w:tcPr>
            <w:tcW w:w="1520" w:type="dxa"/>
            <w:tcBorders>
              <w:top w:val="nil"/>
              <w:left w:val="nil"/>
              <w:bottom w:val="nil"/>
              <w:right w:val="nil"/>
            </w:tcBorders>
            <w:shd w:val="clear" w:color="auto" w:fill="auto"/>
            <w:noWrap/>
            <w:vAlign w:val="bottom"/>
            <w:hideMark/>
          </w:tcPr>
          <w:p w14:paraId="5844CABB"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35</w:t>
            </w:r>
          </w:p>
        </w:tc>
        <w:tc>
          <w:tcPr>
            <w:tcW w:w="1502" w:type="dxa"/>
            <w:tcBorders>
              <w:top w:val="nil"/>
              <w:left w:val="nil"/>
              <w:bottom w:val="nil"/>
              <w:right w:val="nil"/>
            </w:tcBorders>
            <w:shd w:val="clear" w:color="auto" w:fill="auto"/>
            <w:noWrap/>
            <w:vAlign w:val="bottom"/>
            <w:hideMark/>
          </w:tcPr>
          <w:p w14:paraId="62223BA0"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90%</w:t>
            </w:r>
          </w:p>
        </w:tc>
      </w:tr>
      <w:tr w:rsidR="00A91EE5" w:rsidRPr="006F1120" w14:paraId="1A75E6BB" w14:textId="77777777" w:rsidTr="003B4D0F">
        <w:trPr>
          <w:trHeight w:val="300"/>
        </w:trPr>
        <w:tc>
          <w:tcPr>
            <w:tcW w:w="1622" w:type="dxa"/>
            <w:tcBorders>
              <w:top w:val="nil"/>
              <w:left w:val="nil"/>
              <w:bottom w:val="nil"/>
              <w:right w:val="nil"/>
            </w:tcBorders>
            <w:shd w:val="clear" w:color="auto" w:fill="auto"/>
            <w:noWrap/>
            <w:vAlign w:val="bottom"/>
            <w:hideMark/>
          </w:tcPr>
          <w:p w14:paraId="4B75744D" w14:textId="77777777" w:rsidR="00A91EE5" w:rsidRPr="004D30F3" w:rsidRDefault="00A91EE5" w:rsidP="003B4D0F">
            <w:pPr>
              <w:spacing w:after="0" w:line="240" w:lineRule="auto"/>
              <w:jc w:val="center"/>
              <w:rPr>
                <w:rFonts w:eastAsia="Times New Roman"/>
                <w:b/>
                <w:color w:val="000000"/>
                <w:sz w:val="22"/>
              </w:rPr>
            </w:pPr>
            <w:r w:rsidRPr="004D30F3">
              <w:rPr>
                <w:rFonts w:eastAsia="Times New Roman"/>
                <w:b/>
                <w:color w:val="000000"/>
                <w:sz w:val="22"/>
              </w:rPr>
              <w:t>InTASC 10</w:t>
            </w:r>
          </w:p>
        </w:tc>
        <w:tc>
          <w:tcPr>
            <w:tcW w:w="1167" w:type="dxa"/>
            <w:tcBorders>
              <w:top w:val="nil"/>
              <w:left w:val="nil"/>
              <w:bottom w:val="nil"/>
              <w:right w:val="nil"/>
            </w:tcBorders>
            <w:shd w:val="clear" w:color="auto" w:fill="auto"/>
            <w:noWrap/>
            <w:vAlign w:val="bottom"/>
            <w:hideMark/>
          </w:tcPr>
          <w:p w14:paraId="73FB83D6"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269</w:t>
            </w:r>
          </w:p>
        </w:tc>
        <w:tc>
          <w:tcPr>
            <w:tcW w:w="1502" w:type="dxa"/>
            <w:tcBorders>
              <w:top w:val="nil"/>
              <w:left w:val="nil"/>
              <w:bottom w:val="nil"/>
              <w:right w:val="nil"/>
            </w:tcBorders>
            <w:shd w:val="clear" w:color="auto" w:fill="auto"/>
            <w:noWrap/>
            <w:vAlign w:val="bottom"/>
            <w:hideMark/>
          </w:tcPr>
          <w:p w14:paraId="12FDAF17"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26</w:t>
            </w:r>
          </w:p>
        </w:tc>
        <w:tc>
          <w:tcPr>
            <w:tcW w:w="1347" w:type="dxa"/>
            <w:tcBorders>
              <w:top w:val="nil"/>
              <w:left w:val="nil"/>
              <w:bottom w:val="nil"/>
              <w:right w:val="nil"/>
            </w:tcBorders>
            <w:shd w:val="clear" w:color="auto" w:fill="auto"/>
            <w:noWrap/>
            <w:vAlign w:val="bottom"/>
            <w:hideMark/>
          </w:tcPr>
          <w:p w14:paraId="2932D30F"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203</w:t>
            </w:r>
          </w:p>
        </w:tc>
        <w:tc>
          <w:tcPr>
            <w:tcW w:w="1520" w:type="dxa"/>
            <w:tcBorders>
              <w:top w:val="nil"/>
              <w:left w:val="nil"/>
              <w:bottom w:val="nil"/>
              <w:right w:val="nil"/>
            </w:tcBorders>
            <w:shd w:val="clear" w:color="auto" w:fill="auto"/>
            <w:noWrap/>
            <w:vAlign w:val="bottom"/>
            <w:hideMark/>
          </w:tcPr>
          <w:p w14:paraId="1DD7A7CA"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40</w:t>
            </w:r>
          </w:p>
        </w:tc>
        <w:tc>
          <w:tcPr>
            <w:tcW w:w="1502" w:type="dxa"/>
            <w:tcBorders>
              <w:top w:val="nil"/>
              <w:left w:val="nil"/>
              <w:bottom w:val="nil"/>
              <w:right w:val="nil"/>
            </w:tcBorders>
            <w:shd w:val="clear" w:color="auto" w:fill="auto"/>
            <w:noWrap/>
            <w:vAlign w:val="bottom"/>
            <w:hideMark/>
          </w:tcPr>
          <w:p w14:paraId="754CB2D7" w14:textId="77777777" w:rsidR="00A91EE5" w:rsidRPr="006F1120" w:rsidRDefault="00A91EE5" w:rsidP="003B4D0F">
            <w:pPr>
              <w:spacing w:after="0" w:line="240" w:lineRule="auto"/>
              <w:jc w:val="center"/>
              <w:rPr>
                <w:rFonts w:eastAsia="Times New Roman"/>
                <w:color w:val="000000"/>
                <w:sz w:val="22"/>
              </w:rPr>
            </w:pPr>
            <w:r w:rsidRPr="006F1120">
              <w:rPr>
                <w:rFonts w:eastAsia="Times New Roman"/>
                <w:color w:val="000000"/>
                <w:sz w:val="22"/>
              </w:rPr>
              <w:t>85%</w:t>
            </w:r>
          </w:p>
        </w:tc>
      </w:tr>
      <w:tr w:rsidR="00A91EE5" w:rsidRPr="006F1120" w14:paraId="7B04C9DC" w14:textId="77777777" w:rsidTr="003B4D0F">
        <w:trPr>
          <w:trHeight w:val="300"/>
        </w:trPr>
        <w:tc>
          <w:tcPr>
            <w:tcW w:w="1622" w:type="dxa"/>
            <w:tcBorders>
              <w:top w:val="single" w:sz="4" w:space="0" w:color="auto"/>
              <w:left w:val="nil"/>
              <w:bottom w:val="nil"/>
              <w:right w:val="nil"/>
            </w:tcBorders>
            <w:shd w:val="clear" w:color="auto" w:fill="auto"/>
            <w:noWrap/>
            <w:vAlign w:val="bottom"/>
            <w:hideMark/>
          </w:tcPr>
          <w:p w14:paraId="38215AE4"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Totals</w:t>
            </w:r>
          </w:p>
        </w:tc>
        <w:tc>
          <w:tcPr>
            <w:tcW w:w="1167" w:type="dxa"/>
            <w:tcBorders>
              <w:top w:val="single" w:sz="4" w:space="0" w:color="auto"/>
              <w:left w:val="nil"/>
              <w:bottom w:val="nil"/>
              <w:right w:val="nil"/>
            </w:tcBorders>
            <w:shd w:val="clear" w:color="auto" w:fill="auto"/>
            <w:noWrap/>
            <w:vAlign w:val="bottom"/>
            <w:hideMark/>
          </w:tcPr>
          <w:p w14:paraId="72A8B730"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3,015</w:t>
            </w:r>
          </w:p>
        </w:tc>
        <w:tc>
          <w:tcPr>
            <w:tcW w:w="1502" w:type="dxa"/>
            <w:tcBorders>
              <w:top w:val="single" w:sz="4" w:space="0" w:color="auto"/>
              <w:left w:val="nil"/>
              <w:bottom w:val="nil"/>
              <w:right w:val="nil"/>
            </w:tcBorders>
            <w:shd w:val="clear" w:color="auto" w:fill="auto"/>
            <w:noWrap/>
            <w:vAlign w:val="bottom"/>
            <w:hideMark/>
          </w:tcPr>
          <w:p w14:paraId="4D88AEE3"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389</w:t>
            </w:r>
          </w:p>
        </w:tc>
        <w:tc>
          <w:tcPr>
            <w:tcW w:w="1347" w:type="dxa"/>
            <w:tcBorders>
              <w:top w:val="single" w:sz="4" w:space="0" w:color="auto"/>
              <w:left w:val="nil"/>
              <w:bottom w:val="nil"/>
              <w:right w:val="nil"/>
            </w:tcBorders>
            <w:shd w:val="clear" w:color="auto" w:fill="auto"/>
            <w:noWrap/>
            <w:vAlign w:val="bottom"/>
            <w:hideMark/>
          </w:tcPr>
          <w:p w14:paraId="0FAA1D73"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2,307</w:t>
            </w:r>
          </w:p>
        </w:tc>
        <w:tc>
          <w:tcPr>
            <w:tcW w:w="1520" w:type="dxa"/>
            <w:tcBorders>
              <w:top w:val="single" w:sz="4" w:space="0" w:color="auto"/>
              <w:left w:val="nil"/>
              <w:bottom w:val="nil"/>
              <w:right w:val="nil"/>
            </w:tcBorders>
            <w:shd w:val="clear" w:color="auto" w:fill="auto"/>
            <w:noWrap/>
            <w:vAlign w:val="bottom"/>
            <w:hideMark/>
          </w:tcPr>
          <w:p w14:paraId="0C38763C"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319</w:t>
            </w:r>
          </w:p>
        </w:tc>
        <w:tc>
          <w:tcPr>
            <w:tcW w:w="1502" w:type="dxa"/>
            <w:tcBorders>
              <w:top w:val="single" w:sz="4" w:space="0" w:color="auto"/>
              <w:left w:val="nil"/>
              <w:bottom w:val="nil"/>
              <w:right w:val="nil"/>
            </w:tcBorders>
            <w:shd w:val="clear" w:color="auto" w:fill="auto"/>
            <w:noWrap/>
            <w:vAlign w:val="bottom"/>
            <w:hideMark/>
          </w:tcPr>
          <w:p w14:paraId="6D1C8AC6"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90%</w:t>
            </w:r>
          </w:p>
        </w:tc>
      </w:tr>
      <w:tr w:rsidR="00A91EE5" w:rsidRPr="006F1120" w14:paraId="6C8AE4FC" w14:textId="77777777" w:rsidTr="003B4D0F">
        <w:trPr>
          <w:trHeight w:val="315"/>
        </w:trPr>
        <w:tc>
          <w:tcPr>
            <w:tcW w:w="1622" w:type="dxa"/>
            <w:tcBorders>
              <w:top w:val="nil"/>
              <w:left w:val="nil"/>
              <w:bottom w:val="single" w:sz="4" w:space="0" w:color="auto"/>
              <w:right w:val="nil"/>
            </w:tcBorders>
            <w:shd w:val="clear" w:color="auto" w:fill="auto"/>
            <w:noWrap/>
            <w:vAlign w:val="bottom"/>
            <w:hideMark/>
          </w:tcPr>
          <w:p w14:paraId="01C0E78D"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Percentages</w:t>
            </w:r>
          </w:p>
        </w:tc>
        <w:tc>
          <w:tcPr>
            <w:tcW w:w="1167" w:type="dxa"/>
            <w:tcBorders>
              <w:top w:val="nil"/>
              <w:left w:val="nil"/>
              <w:bottom w:val="single" w:sz="4" w:space="0" w:color="auto"/>
              <w:right w:val="nil"/>
            </w:tcBorders>
            <w:shd w:val="clear" w:color="auto" w:fill="auto"/>
            <w:noWrap/>
            <w:vAlign w:val="bottom"/>
            <w:hideMark/>
          </w:tcPr>
          <w:p w14:paraId="607FAB9E" w14:textId="77777777" w:rsidR="00A91EE5" w:rsidRPr="006F1120" w:rsidRDefault="00A91EE5" w:rsidP="003B4D0F">
            <w:pPr>
              <w:spacing w:after="0" w:line="240" w:lineRule="auto"/>
              <w:rPr>
                <w:rFonts w:eastAsia="Times New Roman"/>
                <w:b/>
                <w:bCs/>
                <w:color w:val="000000"/>
                <w:sz w:val="22"/>
              </w:rPr>
            </w:pPr>
            <w:r w:rsidRPr="006F1120">
              <w:rPr>
                <w:rFonts w:eastAsia="Times New Roman"/>
                <w:b/>
                <w:bCs/>
                <w:color w:val="000000"/>
                <w:sz w:val="22"/>
              </w:rPr>
              <w:t> </w:t>
            </w:r>
          </w:p>
        </w:tc>
        <w:tc>
          <w:tcPr>
            <w:tcW w:w="1502" w:type="dxa"/>
            <w:tcBorders>
              <w:top w:val="nil"/>
              <w:left w:val="nil"/>
              <w:bottom w:val="single" w:sz="4" w:space="0" w:color="auto"/>
              <w:right w:val="nil"/>
            </w:tcBorders>
            <w:shd w:val="clear" w:color="auto" w:fill="auto"/>
            <w:noWrap/>
            <w:vAlign w:val="bottom"/>
            <w:hideMark/>
          </w:tcPr>
          <w:p w14:paraId="1CE7AA5D"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13%</w:t>
            </w:r>
          </w:p>
        </w:tc>
        <w:tc>
          <w:tcPr>
            <w:tcW w:w="1347" w:type="dxa"/>
            <w:tcBorders>
              <w:top w:val="nil"/>
              <w:left w:val="nil"/>
              <w:bottom w:val="single" w:sz="4" w:space="0" w:color="auto"/>
              <w:right w:val="nil"/>
            </w:tcBorders>
            <w:shd w:val="clear" w:color="auto" w:fill="auto"/>
            <w:noWrap/>
            <w:vAlign w:val="bottom"/>
            <w:hideMark/>
          </w:tcPr>
          <w:p w14:paraId="7E7F73B8"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77%</w:t>
            </w:r>
          </w:p>
        </w:tc>
        <w:tc>
          <w:tcPr>
            <w:tcW w:w="1520" w:type="dxa"/>
            <w:tcBorders>
              <w:top w:val="nil"/>
              <w:left w:val="nil"/>
              <w:bottom w:val="single" w:sz="4" w:space="0" w:color="auto"/>
              <w:right w:val="nil"/>
            </w:tcBorders>
            <w:shd w:val="clear" w:color="auto" w:fill="auto"/>
            <w:noWrap/>
            <w:vAlign w:val="bottom"/>
            <w:hideMark/>
          </w:tcPr>
          <w:p w14:paraId="7A87540C"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11%</w:t>
            </w:r>
          </w:p>
        </w:tc>
        <w:tc>
          <w:tcPr>
            <w:tcW w:w="1502" w:type="dxa"/>
            <w:tcBorders>
              <w:top w:val="nil"/>
              <w:left w:val="nil"/>
              <w:bottom w:val="single" w:sz="4" w:space="0" w:color="auto"/>
              <w:right w:val="nil"/>
            </w:tcBorders>
            <w:shd w:val="clear" w:color="auto" w:fill="auto"/>
            <w:noWrap/>
            <w:vAlign w:val="bottom"/>
            <w:hideMark/>
          </w:tcPr>
          <w:p w14:paraId="34B05A74" w14:textId="77777777" w:rsidR="00A91EE5" w:rsidRPr="006F1120" w:rsidRDefault="00A91EE5" w:rsidP="003B4D0F">
            <w:pPr>
              <w:spacing w:after="0" w:line="240" w:lineRule="auto"/>
              <w:jc w:val="center"/>
              <w:rPr>
                <w:rFonts w:eastAsia="Times New Roman"/>
                <w:b/>
                <w:bCs/>
                <w:color w:val="000000"/>
                <w:sz w:val="22"/>
              </w:rPr>
            </w:pPr>
            <w:r w:rsidRPr="006F1120">
              <w:rPr>
                <w:rFonts w:eastAsia="Times New Roman"/>
                <w:b/>
                <w:bCs/>
                <w:color w:val="000000"/>
                <w:sz w:val="22"/>
              </w:rPr>
              <w:t>9</w:t>
            </w:r>
            <w:r w:rsidR="004D30F3">
              <w:rPr>
                <w:rFonts w:eastAsia="Times New Roman"/>
                <w:b/>
                <w:bCs/>
                <w:color w:val="000000"/>
                <w:sz w:val="22"/>
              </w:rPr>
              <w:t>0</w:t>
            </w:r>
            <w:r w:rsidRPr="006F1120">
              <w:rPr>
                <w:rFonts w:eastAsia="Times New Roman"/>
                <w:b/>
                <w:bCs/>
                <w:color w:val="000000"/>
                <w:sz w:val="22"/>
              </w:rPr>
              <w:t>%</w:t>
            </w:r>
          </w:p>
        </w:tc>
      </w:tr>
    </w:tbl>
    <w:p w14:paraId="277F9760" w14:textId="77777777" w:rsidR="00A73485" w:rsidRDefault="00A91EE5" w:rsidP="00A91EE5">
      <w:r w:rsidRPr="00AF7798">
        <w:t>The 3,015</w:t>
      </w:r>
      <w:r w:rsidR="00C02699">
        <w:t xml:space="preserve"> InTASC</w:t>
      </w:r>
      <w:r w:rsidRPr="00AF7798">
        <w:t xml:space="preserve"> data points were generated in three stages by a total of 1</w:t>
      </w:r>
      <w:r>
        <w:t>01</w:t>
      </w:r>
      <w:r w:rsidRPr="00AF7798">
        <w:t xml:space="preserve"> indicators</w:t>
      </w:r>
      <w:r>
        <w:t xml:space="preserve"> which were used to form scores for 46 assessment </w:t>
      </w:r>
      <w:r w:rsidR="00A73485">
        <w:t>categories or factors some of which are</w:t>
      </w:r>
      <w:r>
        <w:t xml:space="preserve"> discussed </w:t>
      </w:r>
      <w:r w:rsidR="00A73485">
        <w:t xml:space="preserve">later in this section. The average number of students/candidates being assessed was 26 per TEP assessment, which provided a range of data points for each individual standard </w:t>
      </w:r>
      <w:r w:rsidR="005B6B05">
        <w:t xml:space="preserve">from </w:t>
      </w:r>
      <w:r w:rsidR="00A73485">
        <w:t>205 points to a high of 384 points.</w:t>
      </w:r>
    </w:p>
    <w:p w14:paraId="64DF1337" w14:textId="77777777" w:rsidR="003A5345" w:rsidRDefault="00A73485" w:rsidP="00C71759">
      <w:r>
        <w:t xml:space="preserve">Included in Table 2 is a distribution </w:t>
      </w:r>
      <w:r w:rsidR="003335DD">
        <w:t xml:space="preserve">across all 10 of the InTASC Standards </w:t>
      </w:r>
      <w:r>
        <w:t>of the Exemplary, Proficient; and Developing</w:t>
      </w:r>
      <w:r w:rsidR="003335DD">
        <w:t xml:space="preserve"> qualifiers that generated the 3,015 data points.</w:t>
      </w:r>
      <w:r>
        <w:t xml:space="preserve"> </w:t>
      </w:r>
      <w:r w:rsidR="003335DD">
        <w:t xml:space="preserve"> To further clarify these ratings, the core qualifier is Proficient and the other qualifiers are based upon the meaning of proficient.  Proficient etymologically means “to succeed.”  When a student/candidate has been scored with a 2, it is the judgment of the rater that the person has been </w:t>
      </w:r>
      <w:r w:rsidR="003335DD" w:rsidRPr="003335DD">
        <w:rPr>
          <w:i/>
        </w:rPr>
        <w:t>successful</w:t>
      </w:r>
      <w:r w:rsidR="003335DD">
        <w:t xml:space="preserve"> in demonstrating the stated expectations of the assessment.  </w:t>
      </w:r>
    </w:p>
    <w:p w14:paraId="5CF120E9" w14:textId="77777777" w:rsidR="003A5345" w:rsidRPr="003A5345" w:rsidRDefault="00464159" w:rsidP="00E755E4">
      <w:pPr>
        <w:pStyle w:val="Heading3"/>
      </w:pPr>
      <w:r>
        <w:rPr>
          <w:rStyle w:val="Heading3Char"/>
          <w:b/>
          <w:i/>
        </w:rPr>
        <w:tab/>
      </w:r>
      <w:bookmarkStart w:id="19" w:name="_Toc493221889"/>
      <w:r w:rsidR="003A5345" w:rsidRPr="003A5345">
        <w:rPr>
          <w:rStyle w:val="Heading3Char"/>
          <w:b/>
          <w:i/>
        </w:rPr>
        <w:t xml:space="preserve">InTASC </w:t>
      </w:r>
      <w:r w:rsidR="003A5345">
        <w:rPr>
          <w:rStyle w:val="Heading3Char"/>
          <w:b/>
          <w:i/>
        </w:rPr>
        <w:t>st</w:t>
      </w:r>
      <w:r w:rsidR="003A5345" w:rsidRPr="003A5345">
        <w:rPr>
          <w:rStyle w:val="Heading3Char"/>
          <w:b/>
          <w:i/>
        </w:rPr>
        <w:t xml:space="preserve">andards </w:t>
      </w:r>
      <w:r w:rsidR="003A5345">
        <w:rPr>
          <w:rStyle w:val="Heading3Char"/>
          <w:b/>
          <w:i/>
        </w:rPr>
        <w:t>o</w:t>
      </w:r>
      <w:r w:rsidR="003A5345" w:rsidRPr="003A5345">
        <w:rPr>
          <w:rStyle w:val="Heading3Char"/>
          <w:b/>
          <w:i/>
        </w:rPr>
        <w:t>utcomes ranked by exemplary/proficient</w:t>
      </w:r>
      <w:r w:rsidR="003A5345" w:rsidRPr="003A5345">
        <w:t>.</w:t>
      </w:r>
      <w:bookmarkEnd w:id="19"/>
      <w:r w:rsidR="003A5345" w:rsidRPr="003A5345">
        <w:t xml:space="preserve"> </w:t>
      </w:r>
    </w:p>
    <w:p w14:paraId="2988751F" w14:textId="77777777" w:rsidR="00E619E0" w:rsidRDefault="00C71759" w:rsidP="003A5345">
      <w:r>
        <w:t xml:space="preserve">Proficient is </w:t>
      </w:r>
      <w:r w:rsidRPr="003335DD">
        <w:rPr>
          <w:i/>
        </w:rPr>
        <w:t>not</w:t>
      </w:r>
      <w:r>
        <w:t xml:space="preserve"> analogous to </w:t>
      </w:r>
      <w:r w:rsidRPr="00391DD7">
        <w:t>a C</w:t>
      </w:r>
      <w:r>
        <w:t xml:space="preserve"> in GPA terminology; Proficient in the Division vernacular means such person is believed to have succeeded in meeting the stated expectations and consequently, the descriptor of Proficient could have served as the highest level of rating a response or assessment.  The faculty determined it would make it clear Proficient is not simply a term defined by arbitrary statistical procedures as is often how the term is defined in standardized testing, but more prudently, it means a </w:t>
      </w:r>
      <w:r w:rsidR="003978AF">
        <w:t xml:space="preserve">demonstrated </w:t>
      </w:r>
      <w:r>
        <w:t xml:space="preserve">high level of attainment, i.e., a successful level of attainment.  However the faculty also </w:t>
      </w:r>
      <w:r>
        <w:lastRenderedPageBreak/>
        <w:t xml:space="preserve">determined it would reserve a level of qualitative ranking that is not only successful, but a ranking that shows meritorious preparation.  This rating is signified by the word Exemplary, which means “fit to be an example.” </w:t>
      </w:r>
    </w:p>
    <w:p w14:paraId="7301DE01" w14:textId="77777777" w:rsidR="00A91EE5" w:rsidRDefault="00243654" w:rsidP="00A91EE5">
      <w:r>
        <w:t xml:space="preserve">Hence, a person having this rating is not only “successful,” but also “fit to serve as a model” of the attribute having a rating of 3, that is, to not only successfully teach, but to also serve as a mentor.  </w:t>
      </w:r>
    </w:p>
    <w:p w14:paraId="29AED1F6" w14:textId="77777777" w:rsidR="002F5554" w:rsidRDefault="00243654" w:rsidP="00E619E0">
      <w:r>
        <w:t>So in Table 2, the number of Proficient and Exemplary scores by InTASC Standards are combined and converted to a percentage of the total non-zero responses.</w:t>
      </w:r>
      <w:r w:rsidR="000C3250">
        <w:t xml:space="preserve">  As can be seen in Table 2, 13% of the rating on the InTASC </w:t>
      </w:r>
      <w:r w:rsidR="005944B5" w:rsidRPr="00C53AB7">
        <w:t>S</w:t>
      </w:r>
      <w:r w:rsidR="000C3250" w:rsidRPr="00C53AB7">
        <w:t>tandard</w:t>
      </w:r>
      <w:r w:rsidR="005944B5" w:rsidRPr="00C53AB7">
        <w:t>s</w:t>
      </w:r>
      <w:r w:rsidR="000C3250" w:rsidRPr="00C53AB7">
        <w:t xml:space="preserve"> was at the Exemplary level</w:t>
      </w:r>
      <w:r w:rsidR="004D30F3" w:rsidRPr="00C53AB7">
        <w:t>; 77% Proficient, and 11% Developing.</w:t>
      </w:r>
      <w:r w:rsidR="000C3250" w:rsidRPr="00C53AB7">
        <w:t xml:space="preserve"> </w:t>
      </w:r>
      <w:r w:rsidRPr="00C53AB7">
        <w:t xml:space="preserve"> </w:t>
      </w:r>
    </w:p>
    <w:tbl>
      <w:tblPr>
        <w:tblpPr w:leftFromText="180" w:rightFromText="180" w:vertAnchor="text" w:horzAnchor="margin" w:tblpXSpec="right" w:tblpY="82"/>
        <w:tblOverlap w:val="never"/>
        <w:tblW w:w="8910" w:type="dxa"/>
        <w:tblLook w:val="04A0" w:firstRow="1" w:lastRow="0" w:firstColumn="1" w:lastColumn="0" w:noHBand="0" w:noVBand="1"/>
      </w:tblPr>
      <w:tblGrid>
        <w:gridCol w:w="1255"/>
        <w:gridCol w:w="1664"/>
        <w:gridCol w:w="1617"/>
        <w:gridCol w:w="4374"/>
      </w:tblGrid>
      <w:tr w:rsidR="00CC1F78" w:rsidRPr="00C53AB7" w14:paraId="1619DFB9" w14:textId="77777777" w:rsidTr="00F944E2">
        <w:trPr>
          <w:trHeight w:val="530"/>
        </w:trPr>
        <w:tc>
          <w:tcPr>
            <w:tcW w:w="8910" w:type="dxa"/>
            <w:gridSpan w:val="4"/>
            <w:vMerge w:val="restart"/>
            <w:tcBorders>
              <w:top w:val="single" w:sz="4" w:space="0" w:color="auto"/>
              <w:left w:val="nil"/>
              <w:bottom w:val="single" w:sz="4" w:space="0" w:color="000000"/>
              <w:right w:val="nil"/>
            </w:tcBorders>
            <w:shd w:val="clear" w:color="auto" w:fill="auto"/>
            <w:vAlign w:val="center"/>
            <w:hideMark/>
          </w:tcPr>
          <w:p w14:paraId="32B99F1D" w14:textId="77777777" w:rsidR="00CC1F78" w:rsidRPr="002F5554" w:rsidRDefault="002F5554" w:rsidP="002F5554">
            <w:pPr>
              <w:pStyle w:val="Caption"/>
              <w:rPr>
                <w:rFonts w:eastAsia="Times New Roman"/>
                <w:bCs w:val="0"/>
                <w:color w:val="000000"/>
                <w:sz w:val="26"/>
                <w:szCs w:val="26"/>
              </w:rPr>
            </w:pPr>
            <w:bookmarkStart w:id="20" w:name="_Toc492828025"/>
            <w:r w:rsidRPr="002F5554">
              <w:rPr>
                <w:color w:val="000000" w:themeColor="text1"/>
                <w:sz w:val="24"/>
                <w:szCs w:val="24"/>
              </w:rPr>
              <w:t xml:space="preserve">Table </w:t>
            </w:r>
            <w:r w:rsidRPr="002F5554">
              <w:rPr>
                <w:color w:val="000000" w:themeColor="text1"/>
                <w:sz w:val="24"/>
                <w:szCs w:val="24"/>
              </w:rPr>
              <w:fldChar w:fldCharType="begin"/>
            </w:r>
            <w:r w:rsidRPr="002F5554">
              <w:rPr>
                <w:color w:val="000000" w:themeColor="text1"/>
                <w:sz w:val="24"/>
                <w:szCs w:val="24"/>
              </w:rPr>
              <w:instrText xml:space="preserve"> SEQ Table \* ARABIC </w:instrText>
            </w:r>
            <w:r w:rsidRPr="002F5554">
              <w:rPr>
                <w:color w:val="000000" w:themeColor="text1"/>
                <w:sz w:val="24"/>
                <w:szCs w:val="24"/>
              </w:rPr>
              <w:fldChar w:fldCharType="separate"/>
            </w:r>
            <w:r w:rsidR="0010294F">
              <w:rPr>
                <w:noProof/>
                <w:color w:val="000000" w:themeColor="text1"/>
                <w:sz w:val="24"/>
                <w:szCs w:val="24"/>
              </w:rPr>
              <w:t>3</w:t>
            </w:r>
            <w:r w:rsidRPr="002F5554">
              <w:rPr>
                <w:color w:val="000000" w:themeColor="text1"/>
                <w:sz w:val="24"/>
                <w:szCs w:val="24"/>
              </w:rPr>
              <w:fldChar w:fldCharType="end"/>
            </w:r>
            <w:r w:rsidR="00CC1F78" w:rsidRPr="002F5554">
              <w:rPr>
                <w:rFonts w:eastAsia="Times New Roman"/>
                <w:bCs w:val="0"/>
                <w:color w:val="000000"/>
                <w:sz w:val="26"/>
                <w:szCs w:val="26"/>
              </w:rPr>
              <w:t>: InTASC Standards Ranked by Exemplary</w:t>
            </w:r>
            <w:r w:rsidRPr="002F5554">
              <w:rPr>
                <w:rFonts w:eastAsia="Times New Roman"/>
                <w:bCs w:val="0"/>
                <w:color w:val="000000"/>
                <w:sz w:val="26"/>
                <w:szCs w:val="26"/>
              </w:rPr>
              <w:t>/</w:t>
            </w:r>
            <w:r w:rsidR="00CC1F78" w:rsidRPr="002F5554">
              <w:rPr>
                <w:rFonts w:eastAsia="Times New Roman"/>
                <w:bCs w:val="0"/>
                <w:color w:val="000000"/>
                <w:sz w:val="26"/>
                <w:szCs w:val="26"/>
              </w:rPr>
              <w:t>Proficient Percentages</w:t>
            </w:r>
            <w:bookmarkEnd w:id="20"/>
          </w:p>
        </w:tc>
      </w:tr>
      <w:tr w:rsidR="00CC1F78" w:rsidRPr="00C53AB7" w14:paraId="4F808AD9" w14:textId="77777777" w:rsidTr="00F944E2">
        <w:trPr>
          <w:trHeight w:val="403"/>
        </w:trPr>
        <w:tc>
          <w:tcPr>
            <w:tcW w:w="8910" w:type="dxa"/>
            <w:gridSpan w:val="4"/>
            <w:vMerge/>
            <w:tcBorders>
              <w:top w:val="single" w:sz="4" w:space="0" w:color="auto"/>
              <w:left w:val="nil"/>
              <w:bottom w:val="single" w:sz="4" w:space="0" w:color="000000"/>
              <w:right w:val="nil"/>
            </w:tcBorders>
            <w:vAlign w:val="center"/>
            <w:hideMark/>
          </w:tcPr>
          <w:p w14:paraId="79A87AEB" w14:textId="77777777" w:rsidR="00CC1F78" w:rsidRPr="00C53AB7" w:rsidRDefault="00CC1F78" w:rsidP="00CC1F78">
            <w:pPr>
              <w:spacing w:after="0" w:line="240" w:lineRule="auto"/>
              <w:rPr>
                <w:rFonts w:eastAsia="Times New Roman"/>
                <w:b/>
                <w:bCs/>
                <w:color w:val="000000"/>
                <w:sz w:val="26"/>
                <w:szCs w:val="26"/>
              </w:rPr>
            </w:pPr>
          </w:p>
        </w:tc>
      </w:tr>
      <w:tr w:rsidR="00CC1F78" w:rsidRPr="00C53AB7" w14:paraId="001A9761" w14:textId="77777777" w:rsidTr="00F944E2">
        <w:trPr>
          <w:trHeight w:val="319"/>
        </w:trPr>
        <w:tc>
          <w:tcPr>
            <w:tcW w:w="1255" w:type="dxa"/>
            <w:tcBorders>
              <w:top w:val="nil"/>
              <w:left w:val="nil"/>
              <w:bottom w:val="nil"/>
              <w:right w:val="nil"/>
            </w:tcBorders>
            <w:shd w:val="clear" w:color="auto" w:fill="auto"/>
            <w:noWrap/>
            <w:vAlign w:val="bottom"/>
            <w:hideMark/>
          </w:tcPr>
          <w:p w14:paraId="115B7BE1" w14:textId="77777777" w:rsidR="00CC1F78" w:rsidRPr="00C53AB7" w:rsidRDefault="00CC1F78" w:rsidP="00CC1F78">
            <w:pPr>
              <w:spacing w:after="0" w:line="240" w:lineRule="auto"/>
              <w:rPr>
                <w:rFonts w:eastAsia="Times New Roman"/>
                <w:color w:val="000000"/>
                <w:sz w:val="22"/>
              </w:rPr>
            </w:pPr>
          </w:p>
        </w:tc>
        <w:tc>
          <w:tcPr>
            <w:tcW w:w="1664" w:type="dxa"/>
            <w:tcBorders>
              <w:top w:val="nil"/>
              <w:left w:val="nil"/>
              <w:bottom w:val="nil"/>
              <w:right w:val="nil"/>
            </w:tcBorders>
            <w:shd w:val="clear" w:color="auto" w:fill="auto"/>
            <w:noWrap/>
            <w:vAlign w:val="bottom"/>
            <w:hideMark/>
          </w:tcPr>
          <w:p w14:paraId="7DAC206E" w14:textId="77777777" w:rsidR="00CC1F78" w:rsidRPr="00C53AB7" w:rsidRDefault="00CC1F78" w:rsidP="00CC1F78">
            <w:pPr>
              <w:spacing w:after="0" w:line="240" w:lineRule="auto"/>
              <w:rPr>
                <w:rFonts w:eastAsia="Times New Roman"/>
                <w:color w:val="000000"/>
                <w:sz w:val="22"/>
              </w:rPr>
            </w:pPr>
          </w:p>
        </w:tc>
        <w:tc>
          <w:tcPr>
            <w:tcW w:w="1617" w:type="dxa"/>
            <w:tcBorders>
              <w:top w:val="nil"/>
              <w:left w:val="nil"/>
              <w:bottom w:val="nil"/>
              <w:right w:val="nil"/>
            </w:tcBorders>
            <w:shd w:val="clear" w:color="auto" w:fill="auto"/>
            <w:noWrap/>
            <w:vAlign w:val="bottom"/>
            <w:hideMark/>
          </w:tcPr>
          <w:p w14:paraId="4F6516EB"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Exemplary</w:t>
            </w:r>
          </w:p>
        </w:tc>
        <w:tc>
          <w:tcPr>
            <w:tcW w:w="4374" w:type="dxa"/>
            <w:tcBorders>
              <w:top w:val="nil"/>
              <w:left w:val="nil"/>
              <w:bottom w:val="nil"/>
              <w:right w:val="nil"/>
            </w:tcBorders>
            <w:shd w:val="clear" w:color="auto" w:fill="auto"/>
            <w:noWrap/>
            <w:vAlign w:val="bottom"/>
            <w:hideMark/>
          </w:tcPr>
          <w:p w14:paraId="742D120E"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InTASC Standard</w:t>
            </w:r>
          </w:p>
        </w:tc>
      </w:tr>
      <w:tr w:rsidR="00CC1F78" w:rsidRPr="00C53AB7" w14:paraId="6DF672E3" w14:textId="77777777" w:rsidTr="00F944E2">
        <w:trPr>
          <w:trHeight w:val="319"/>
        </w:trPr>
        <w:tc>
          <w:tcPr>
            <w:tcW w:w="1255" w:type="dxa"/>
            <w:tcBorders>
              <w:top w:val="nil"/>
              <w:left w:val="nil"/>
              <w:bottom w:val="single" w:sz="4" w:space="0" w:color="auto"/>
              <w:right w:val="nil"/>
            </w:tcBorders>
            <w:shd w:val="clear" w:color="auto" w:fill="auto"/>
            <w:noWrap/>
            <w:vAlign w:val="bottom"/>
            <w:hideMark/>
          </w:tcPr>
          <w:p w14:paraId="172E141F"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Rank</w:t>
            </w:r>
          </w:p>
        </w:tc>
        <w:tc>
          <w:tcPr>
            <w:tcW w:w="1664" w:type="dxa"/>
            <w:tcBorders>
              <w:top w:val="nil"/>
              <w:left w:val="nil"/>
              <w:bottom w:val="single" w:sz="4" w:space="0" w:color="auto"/>
              <w:right w:val="nil"/>
            </w:tcBorders>
            <w:shd w:val="clear" w:color="auto" w:fill="auto"/>
            <w:noWrap/>
            <w:vAlign w:val="bottom"/>
            <w:hideMark/>
          </w:tcPr>
          <w:p w14:paraId="5DC69F5C"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Standard</w:t>
            </w:r>
          </w:p>
        </w:tc>
        <w:tc>
          <w:tcPr>
            <w:tcW w:w="1617" w:type="dxa"/>
            <w:tcBorders>
              <w:top w:val="nil"/>
              <w:left w:val="nil"/>
              <w:bottom w:val="single" w:sz="4" w:space="0" w:color="auto"/>
              <w:right w:val="nil"/>
            </w:tcBorders>
            <w:shd w:val="clear" w:color="auto" w:fill="auto"/>
            <w:noWrap/>
            <w:vAlign w:val="bottom"/>
            <w:hideMark/>
          </w:tcPr>
          <w:p w14:paraId="27DC7A2D"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Proficient</w:t>
            </w:r>
          </w:p>
        </w:tc>
        <w:tc>
          <w:tcPr>
            <w:tcW w:w="4374" w:type="dxa"/>
            <w:tcBorders>
              <w:top w:val="nil"/>
              <w:left w:val="nil"/>
              <w:bottom w:val="single" w:sz="4" w:space="0" w:color="auto"/>
              <w:right w:val="nil"/>
            </w:tcBorders>
            <w:shd w:val="clear" w:color="auto" w:fill="auto"/>
            <w:noWrap/>
            <w:vAlign w:val="bottom"/>
            <w:hideMark/>
          </w:tcPr>
          <w:p w14:paraId="5047CFA9"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Descriptor</w:t>
            </w:r>
          </w:p>
        </w:tc>
      </w:tr>
      <w:tr w:rsidR="00CC1F78" w:rsidRPr="00C53AB7" w14:paraId="2CAA8076" w14:textId="77777777" w:rsidTr="00F944E2">
        <w:trPr>
          <w:trHeight w:val="319"/>
        </w:trPr>
        <w:tc>
          <w:tcPr>
            <w:tcW w:w="1255" w:type="dxa"/>
            <w:tcBorders>
              <w:top w:val="nil"/>
              <w:left w:val="nil"/>
              <w:bottom w:val="nil"/>
              <w:right w:val="nil"/>
            </w:tcBorders>
            <w:shd w:val="clear" w:color="auto" w:fill="auto"/>
            <w:noWrap/>
            <w:vAlign w:val="bottom"/>
            <w:hideMark/>
          </w:tcPr>
          <w:p w14:paraId="22A26F45" w14:textId="77777777" w:rsidR="00CC1F78" w:rsidRPr="00945266" w:rsidRDefault="00CC1F78" w:rsidP="00CC1F78">
            <w:pPr>
              <w:spacing w:after="0" w:line="240" w:lineRule="auto"/>
              <w:jc w:val="center"/>
              <w:rPr>
                <w:rFonts w:eastAsia="Times New Roman"/>
                <w:b/>
                <w:color w:val="000000"/>
                <w:sz w:val="22"/>
              </w:rPr>
            </w:pPr>
            <w:r w:rsidRPr="00945266">
              <w:rPr>
                <w:rFonts w:eastAsia="Times New Roman"/>
                <w:b/>
                <w:color w:val="000000"/>
                <w:sz w:val="22"/>
              </w:rPr>
              <w:t>1</w:t>
            </w:r>
          </w:p>
        </w:tc>
        <w:tc>
          <w:tcPr>
            <w:tcW w:w="1664" w:type="dxa"/>
            <w:tcBorders>
              <w:top w:val="nil"/>
              <w:left w:val="nil"/>
              <w:bottom w:val="nil"/>
              <w:right w:val="nil"/>
            </w:tcBorders>
            <w:shd w:val="clear" w:color="auto" w:fill="auto"/>
            <w:noWrap/>
            <w:vAlign w:val="bottom"/>
            <w:hideMark/>
          </w:tcPr>
          <w:p w14:paraId="4C9366D5"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InTASC 2</w:t>
            </w:r>
          </w:p>
        </w:tc>
        <w:tc>
          <w:tcPr>
            <w:tcW w:w="1617" w:type="dxa"/>
            <w:tcBorders>
              <w:top w:val="nil"/>
              <w:left w:val="nil"/>
              <w:bottom w:val="nil"/>
              <w:right w:val="nil"/>
            </w:tcBorders>
            <w:shd w:val="clear" w:color="auto" w:fill="auto"/>
            <w:noWrap/>
            <w:vAlign w:val="bottom"/>
            <w:hideMark/>
          </w:tcPr>
          <w:p w14:paraId="4DDCDF22" w14:textId="77777777" w:rsidR="00CC1F78" w:rsidRPr="00C53AB7" w:rsidRDefault="00CC1F78" w:rsidP="00CC1F78">
            <w:pPr>
              <w:spacing w:after="0" w:line="240" w:lineRule="auto"/>
              <w:jc w:val="center"/>
              <w:rPr>
                <w:rFonts w:eastAsia="Times New Roman"/>
                <w:color w:val="000000"/>
                <w:sz w:val="22"/>
              </w:rPr>
            </w:pPr>
            <w:r w:rsidRPr="00C53AB7">
              <w:rPr>
                <w:rFonts w:eastAsia="Times New Roman"/>
                <w:color w:val="000000"/>
                <w:sz w:val="22"/>
              </w:rPr>
              <w:t>95%</w:t>
            </w:r>
          </w:p>
        </w:tc>
        <w:tc>
          <w:tcPr>
            <w:tcW w:w="4374" w:type="dxa"/>
            <w:tcBorders>
              <w:top w:val="nil"/>
              <w:left w:val="nil"/>
              <w:bottom w:val="nil"/>
              <w:right w:val="nil"/>
            </w:tcBorders>
            <w:shd w:val="clear" w:color="auto" w:fill="auto"/>
            <w:noWrap/>
            <w:vAlign w:val="bottom"/>
            <w:hideMark/>
          </w:tcPr>
          <w:p w14:paraId="2D68E874" w14:textId="77777777" w:rsidR="00CC1F78" w:rsidRPr="00C53AB7" w:rsidRDefault="00CC1F78" w:rsidP="00CC1F78">
            <w:pPr>
              <w:spacing w:after="0" w:line="240" w:lineRule="auto"/>
              <w:rPr>
                <w:rFonts w:eastAsia="Times New Roman"/>
                <w:color w:val="000000"/>
                <w:sz w:val="22"/>
              </w:rPr>
            </w:pPr>
            <w:r w:rsidRPr="00C53AB7">
              <w:rPr>
                <w:rFonts w:eastAsia="Times New Roman"/>
                <w:color w:val="000000"/>
                <w:sz w:val="22"/>
              </w:rPr>
              <w:t>Learning Differences</w:t>
            </w:r>
          </w:p>
        </w:tc>
      </w:tr>
      <w:tr w:rsidR="00CC1F78" w:rsidRPr="00C53AB7" w14:paraId="14FB0FA6" w14:textId="77777777" w:rsidTr="00F944E2">
        <w:trPr>
          <w:trHeight w:val="319"/>
        </w:trPr>
        <w:tc>
          <w:tcPr>
            <w:tcW w:w="1255" w:type="dxa"/>
            <w:tcBorders>
              <w:top w:val="nil"/>
              <w:left w:val="nil"/>
              <w:bottom w:val="nil"/>
              <w:right w:val="nil"/>
            </w:tcBorders>
            <w:shd w:val="clear" w:color="auto" w:fill="auto"/>
            <w:noWrap/>
            <w:vAlign w:val="bottom"/>
            <w:hideMark/>
          </w:tcPr>
          <w:p w14:paraId="240EEBF0" w14:textId="77777777" w:rsidR="00CC1F78" w:rsidRPr="00945266" w:rsidRDefault="00CC1F78" w:rsidP="00CC1F78">
            <w:pPr>
              <w:spacing w:after="0" w:line="240" w:lineRule="auto"/>
              <w:jc w:val="center"/>
              <w:rPr>
                <w:rFonts w:eastAsia="Times New Roman"/>
                <w:b/>
                <w:color w:val="000000"/>
                <w:sz w:val="22"/>
              </w:rPr>
            </w:pPr>
            <w:r w:rsidRPr="00945266">
              <w:rPr>
                <w:rFonts w:eastAsia="Times New Roman"/>
                <w:b/>
                <w:color w:val="000000"/>
                <w:sz w:val="22"/>
              </w:rPr>
              <w:t>2</w:t>
            </w:r>
          </w:p>
        </w:tc>
        <w:tc>
          <w:tcPr>
            <w:tcW w:w="1664" w:type="dxa"/>
            <w:tcBorders>
              <w:top w:val="nil"/>
              <w:left w:val="nil"/>
              <w:bottom w:val="nil"/>
              <w:right w:val="nil"/>
            </w:tcBorders>
            <w:shd w:val="clear" w:color="auto" w:fill="auto"/>
            <w:noWrap/>
            <w:vAlign w:val="bottom"/>
            <w:hideMark/>
          </w:tcPr>
          <w:p w14:paraId="6B7E0B16"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InTASC 4</w:t>
            </w:r>
          </w:p>
        </w:tc>
        <w:tc>
          <w:tcPr>
            <w:tcW w:w="1617" w:type="dxa"/>
            <w:tcBorders>
              <w:top w:val="nil"/>
              <w:left w:val="nil"/>
              <w:bottom w:val="nil"/>
              <w:right w:val="nil"/>
            </w:tcBorders>
            <w:shd w:val="clear" w:color="auto" w:fill="auto"/>
            <w:noWrap/>
            <w:vAlign w:val="bottom"/>
            <w:hideMark/>
          </w:tcPr>
          <w:p w14:paraId="5D7C2DF9" w14:textId="77777777" w:rsidR="00CC1F78" w:rsidRPr="00C53AB7" w:rsidRDefault="00CC1F78" w:rsidP="00CC1F78">
            <w:pPr>
              <w:spacing w:after="0" w:line="240" w:lineRule="auto"/>
              <w:jc w:val="center"/>
              <w:rPr>
                <w:rFonts w:eastAsia="Times New Roman"/>
                <w:color w:val="000000"/>
                <w:sz w:val="22"/>
              </w:rPr>
            </w:pPr>
            <w:r w:rsidRPr="00C53AB7">
              <w:rPr>
                <w:rFonts w:eastAsia="Times New Roman"/>
                <w:color w:val="000000"/>
                <w:sz w:val="22"/>
              </w:rPr>
              <w:t>93%</w:t>
            </w:r>
          </w:p>
        </w:tc>
        <w:tc>
          <w:tcPr>
            <w:tcW w:w="4374" w:type="dxa"/>
            <w:tcBorders>
              <w:top w:val="nil"/>
              <w:left w:val="nil"/>
              <w:bottom w:val="nil"/>
              <w:right w:val="nil"/>
            </w:tcBorders>
            <w:shd w:val="clear" w:color="auto" w:fill="auto"/>
            <w:noWrap/>
            <w:vAlign w:val="bottom"/>
            <w:hideMark/>
          </w:tcPr>
          <w:p w14:paraId="7FFC8158" w14:textId="77777777" w:rsidR="00CC1F78" w:rsidRPr="00C53AB7" w:rsidRDefault="00CC1F78" w:rsidP="00CC1F78">
            <w:pPr>
              <w:spacing w:after="0" w:line="240" w:lineRule="auto"/>
              <w:rPr>
                <w:rFonts w:eastAsia="Times New Roman"/>
                <w:color w:val="000000"/>
                <w:sz w:val="22"/>
              </w:rPr>
            </w:pPr>
            <w:r w:rsidRPr="00C53AB7">
              <w:rPr>
                <w:rFonts w:eastAsia="Times New Roman"/>
                <w:color w:val="000000"/>
                <w:sz w:val="22"/>
              </w:rPr>
              <w:t>Content Knowledge</w:t>
            </w:r>
          </w:p>
        </w:tc>
      </w:tr>
      <w:tr w:rsidR="00CC1F78" w:rsidRPr="00C53AB7" w14:paraId="7916EA6E" w14:textId="77777777" w:rsidTr="00F944E2">
        <w:trPr>
          <w:trHeight w:val="319"/>
        </w:trPr>
        <w:tc>
          <w:tcPr>
            <w:tcW w:w="1255" w:type="dxa"/>
            <w:tcBorders>
              <w:top w:val="nil"/>
              <w:left w:val="nil"/>
              <w:bottom w:val="nil"/>
              <w:right w:val="nil"/>
            </w:tcBorders>
            <w:shd w:val="clear" w:color="auto" w:fill="auto"/>
            <w:noWrap/>
            <w:vAlign w:val="bottom"/>
            <w:hideMark/>
          </w:tcPr>
          <w:p w14:paraId="7E93FE63" w14:textId="77777777" w:rsidR="00CC1F78" w:rsidRPr="00945266" w:rsidRDefault="00CC1F78" w:rsidP="00CC1F78">
            <w:pPr>
              <w:spacing w:after="0" w:line="240" w:lineRule="auto"/>
              <w:jc w:val="center"/>
              <w:rPr>
                <w:rFonts w:eastAsia="Times New Roman"/>
                <w:b/>
                <w:color w:val="000000"/>
                <w:sz w:val="22"/>
              </w:rPr>
            </w:pPr>
            <w:r w:rsidRPr="00945266">
              <w:rPr>
                <w:rFonts w:eastAsia="Times New Roman"/>
                <w:b/>
                <w:color w:val="000000"/>
                <w:sz w:val="22"/>
              </w:rPr>
              <w:t>3</w:t>
            </w:r>
          </w:p>
        </w:tc>
        <w:tc>
          <w:tcPr>
            <w:tcW w:w="1664" w:type="dxa"/>
            <w:tcBorders>
              <w:top w:val="nil"/>
              <w:left w:val="nil"/>
              <w:bottom w:val="nil"/>
              <w:right w:val="nil"/>
            </w:tcBorders>
            <w:shd w:val="clear" w:color="auto" w:fill="auto"/>
            <w:noWrap/>
            <w:vAlign w:val="bottom"/>
            <w:hideMark/>
          </w:tcPr>
          <w:p w14:paraId="0E9306D1"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InTASC 1</w:t>
            </w:r>
          </w:p>
        </w:tc>
        <w:tc>
          <w:tcPr>
            <w:tcW w:w="1617" w:type="dxa"/>
            <w:tcBorders>
              <w:top w:val="nil"/>
              <w:left w:val="nil"/>
              <w:bottom w:val="nil"/>
              <w:right w:val="nil"/>
            </w:tcBorders>
            <w:shd w:val="clear" w:color="auto" w:fill="auto"/>
            <w:noWrap/>
            <w:vAlign w:val="bottom"/>
            <w:hideMark/>
          </w:tcPr>
          <w:p w14:paraId="3979344D" w14:textId="77777777" w:rsidR="00CC1F78" w:rsidRPr="00C53AB7" w:rsidRDefault="00CC1F78" w:rsidP="00CC1F78">
            <w:pPr>
              <w:spacing w:after="0" w:line="240" w:lineRule="auto"/>
              <w:jc w:val="center"/>
              <w:rPr>
                <w:rFonts w:eastAsia="Times New Roman"/>
                <w:color w:val="000000"/>
                <w:sz w:val="22"/>
              </w:rPr>
            </w:pPr>
            <w:r w:rsidRPr="00C53AB7">
              <w:rPr>
                <w:rFonts w:eastAsia="Times New Roman"/>
                <w:color w:val="000000"/>
                <w:sz w:val="22"/>
              </w:rPr>
              <w:t>92%</w:t>
            </w:r>
          </w:p>
        </w:tc>
        <w:tc>
          <w:tcPr>
            <w:tcW w:w="4374" w:type="dxa"/>
            <w:tcBorders>
              <w:top w:val="nil"/>
              <w:left w:val="nil"/>
              <w:bottom w:val="nil"/>
              <w:right w:val="nil"/>
            </w:tcBorders>
            <w:shd w:val="clear" w:color="auto" w:fill="auto"/>
            <w:noWrap/>
            <w:vAlign w:val="bottom"/>
            <w:hideMark/>
          </w:tcPr>
          <w:p w14:paraId="79D84689" w14:textId="77777777" w:rsidR="00CC1F78" w:rsidRPr="00C53AB7" w:rsidRDefault="00CC1F78" w:rsidP="00CC1F78">
            <w:pPr>
              <w:spacing w:after="0" w:line="240" w:lineRule="auto"/>
              <w:rPr>
                <w:rFonts w:eastAsia="Times New Roman"/>
                <w:color w:val="000000"/>
                <w:sz w:val="22"/>
              </w:rPr>
            </w:pPr>
            <w:r w:rsidRPr="00C53AB7">
              <w:rPr>
                <w:rFonts w:eastAsia="Times New Roman"/>
                <w:color w:val="000000"/>
                <w:sz w:val="22"/>
              </w:rPr>
              <w:t>Learner Development</w:t>
            </w:r>
          </w:p>
        </w:tc>
      </w:tr>
      <w:tr w:rsidR="00CC1F78" w:rsidRPr="00C53AB7" w14:paraId="272DDA66" w14:textId="77777777" w:rsidTr="00F944E2">
        <w:trPr>
          <w:trHeight w:val="319"/>
        </w:trPr>
        <w:tc>
          <w:tcPr>
            <w:tcW w:w="1255" w:type="dxa"/>
            <w:tcBorders>
              <w:top w:val="nil"/>
              <w:left w:val="nil"/>
              <w:bottom w:val="nil"/>
              <w:right w:val="nil"/>
            </w:tcBorders>
            <w:shd w:val="clear" w:color="auto" w:fill="auto"/>
            <w:noWrap/>
            <w:vAlign w:val="bottom"/>
            <w:hideMark/>
          </w:tcPr>
          <w:p w14:paraId="7F2C771E" w14:textId="77777777" w:rsidR="00CC1F78" w:rsidRPr="00945266" w:rsidRDefault="00CC1F78" w:rsidP="00CC1F78">
            <w:pPr>
              <w:spacing w:after="0" w:line="240" w:lineRule="auto"/>
              <w:jc w:val="center"/>
              <w:rPr>
                <w:rFonts w:eastAsia="Times New Roman"/>
                <w:b/>
                <w:color w:val="000000"/>
                <w:sz w:val="22"/>
              </w:rPr>
            </w:pPr>
            <w:r w:rsidRPr="00945266">
              <w:rPr>
                <w:rFonts w:eastAsia="Times New Roman"/>
                <w:b/>
                <w:color w:val="000000"/>
                <w:sz w:val="22"/>
              </w:rPr>
              <w:t>4</w:t>
            </w:r>
          </w:p>
        </w:tc>
        <w:tc>
          <w:tcPr>
            <w:tcW w:w="1664" w:type="dxa"/>
            <w:tcBorders>
              <w:top w:val="nil"/>
              <w:left w:val="nil"/>
              <w:bottom w:val="nil"/>
              <w:right w:val="nil"/>
            </w:tcBorders>
            <w:shd w:val="clear" w:color="auto" w:fill="auto"/>
            <w:noWrap/>
            <w:vAlign w:val="bottom"/>
            <w:hideMark/>
          </w:tcPr>
          <w:p w14:paraId="67E2AF29"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InTASC 6</w:t>
            </w:r>
          </w:p>
        </w:tc>
        <w:tc>
          <w:tcPr>
            <w:tcW w:w="1617" w:type="dxa"/>
            <w:tcBorders>
              <w:top w:val="nil"/>
              <w:left w:val="nil"/>
              <w:bottom w:val="nil"/>
              <w:right w:val="nil"/>
            </w:tcBorders>
            <w:shd w:val="clear" w:color="auto" w:fill="auto"/>
            <w:noWrap/>
            <w:vAlign w:val="bottom"/>
            <w:hideMark/>
          </w:tcPr>
          <w:p w14:paraId="7E669C12" w14:textId="77777777" w:rsidR="00CC1F78" w:rsidRPr="00C53AB7" w:rsidRDefault="00CC1F78" w:rsidP="00CC1F78">
            <w:pPr>
              <w:spacing w:after="0" w:line="240" w:lineRule="auto"/>
              <w:jc w:val="center"/>
              <w:rPr>
                <w:rFonts w:eastAsia="Times New Roman"/>
                <w:color w:val="000000"/>
                <w:sz w:val="22"/>
              </w:rPr>
            </w:pPr>
            <w:r w:rsidRPr="00C53AB7">
              <w:rPr>
                <w:rFonts w:eastAsia="Times New Roman"/>
                <w:color w:val="000000"/>
                <w:sz w:val="22"/>
              </w:rPr>
              <w:t>92%</w:t>
            </w:r>
          </w:p>
        </w:tc>
        <w:tc>
          <w:tcPr>
            <w:tcW w:w="4374" w:type="dxa"/>
            <w:tcBorders>
              <w:top w:val="nil"/>
              <w:left w:val="nil"/>
              <w:bottom w:val="nil"/>
              <w:right w:val="nil"/>
            </w:tcBorders>
            <w:shd w:val="clear" w:color="auto" w:fill="auto"/>
            <w:noWrap/>
            <w:vAlign w:val="bottom"/>
            <w:hideMark/>
          </w:tcPr>
          <w:p w14:paraId="417E591F" w14:textId="77777777" w:rsidR="00CC1F78" w:rsidRPr="00C53AB7" w:rsidRDefault="00CC1F78" w:rsidP="00CC1F78">
            <w:pPr>
              <w:spacing w:after="0" w:line="240" w:lineRule="auto"/>
              <w:rPr>
                <w:rFonts w:eastAsia="Times New Roman"/>
                <w:color w:val="000000"/>
                <w:sz w:val="22"/>
              </w:rPr>
            </w:pPr>
            <w:r w:rsidRPr="00C53AB7">
              <w:rPr>
                <w:rFonts w:eastAsia="Times New Roman"/>
                <w:color w:val="000000"/>
                <w:sz w:val="22"/>
              </w:rPr>
              <w:t>Assessment</w:t>
            </w:r>
          </w:p>
        </w:tc>
      </w:tr>
      <w:tr w:rsidR="00CC1F78" w:rsidRPr="00C53AB7" w14:paraId="4FC65D37" w14:textId="77777777" w:rsidTr="00F944E2">
        <w:trPr>
          <w:trHeight w:val="319"/>
        </w:trPr>
        <w:tc>
          <w:tcPr>
            <w:tcW w:w="1255" w:type="dxa"/>
            <w:tcBorders>
              <w:top w:val="nil"/>
              <w:left w:val="nil"/>
              <w:bottom w:val="nil"/>
              <w:right w:val="nil"/>
            </w:tcBorders>
            <w:shd w:val="clear" w:color="auto" w:fill="auto"/>
            <w:noWrap/>
            <w:vAlign w:val="bottom"/>
            <w:hideMark/>
          </w:tcPr>
          <w:p w14:paraId="25203041" w14:textId="77777777" w:rsidR="00CC1F78" w:rsidRPr="00945266" w:rsidRDefault="00CC1F78" w:rsidP="00CC1F78">
            <w:pPr>
              <w:spacing w:after="0" w:line="240" w:lineRule="auto"/>
              <w:jc w:val="center"/>
              <w:rPr>
                <w:rFonts w:eastAsia="Times New Roman"/>
                <w:b/>
                <w:color w:val="000000"/>
                <w:sz w:val="22"/>
              </w:rPr>
            </w:pPr>
            <w:r w:rsidRPr="00945266">
              <w:rPr>
                <w:rFonts w:eastAsia="Times New Roman"/>
                <w:b/>
                <w:color w:val="000000"/>
                <w:sz w:val="22"/>
              </w:rPr>
              <w:t>5</w:t>
            </w:r>
          </w:p>
        </w:tc>
        <w:tc>
          <w:tcPr>
            <w:tcW w:w="1664" w:type="dxa"/>
            <w:tcBorders>
              <w:top w:val="nil"/>
              <w:left w:val="nil"/>
              <w:bottom w:val="nil"/>
              <w:right w:val="nil"/>
            </w:tcBorders>
            <w:shd w:val="clear" w:color="auto" w:fill="auto"/>
            <w:noWrap/>
            <w:vAlign w:val="bottom"/>
            <w:hideMark/>
          </w:tcPr>
          <w:p w14:paraId="5EE8061A"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InTASC 7</w:t>
            </w:r>
          </w:p>
        </w:tc>
        <w:tc>
          <w:tcPr>
            <w:tcW w:w="1617" w:type="dxa"/>
            <w:tcBorders>
              <w:top w:val="nil"/>
              <w:left w:val="nil"/>
              <w:bottom w:val="nil"/>
              <w:right w:val="nil"/>
            </w:tcBorders>
            <w:shd w:val="clear" w:color="auto" w:fill="auto"/>
            <w:noWrap/>
            <w:vAlign w:val="bottom"/>
            <w:hideMark/>
          </w:tcPr>
          <w:p w14:paraId="063F0125" w14:textId="77777777" w:rsidR="00CC1F78" w:rsidRPr="00C53AB7" w:rsidRDefault="00CC1F78" w:rsidP="00CC1F78">
            <w:pPr>
              <w:spacing w:after="0" w:line="240" w:lineRule="auto"/>
              <w:jc w:val="center"/>
              <w:rPr>
                <w:rFonts w:eastAsia="Times New Roman"/>
                <w:color w:val="000000"/>
                <w:sz w:val="22"/>
              </w:rPr>
            </w:pPr>
            <w:r w:rsidRPr="00C53AB7">
              <w:rPr>
                <w:rFonts w:eastAsia="Times New Roman"/>
                <w:color w:val="000000"/>
                <w:sz w:val="22"/>
              </w:rPr>
              <w:t>92%</w:t>
            </w:r>
          </w:p>
        </w:tc>
        <w:tc>
          <w:tcPr>
            <w:tcW w:w="4374" w:type="dxa"/>
            <w:tcBorders>
              <w:top w:val="nil"/>
              <w:left w:val="nil"/>
              <w:bottom w:val="nil"/>
              <w:right w:val="nil"/>
            </w:tcBorders>
            <w:shd w:val="clear" w:color="auto" w:fill="auto"/>
            <w:noWrap/>
            <w:vAlign w:val="bottom"/>
            <w:hideMark/>
          </w:tcPr>
          <w:p w14:paraId="3A1B98EC" w14:textId="77777777" w:rsidR="00CC1F78" w:rsidRPr="00C53AB7" w:rsidRDefault="00CC1F78" w:rsidP="00CC1F78">
            <w:pPr>
              <w:spacing w:after="0" w:line="240" w:lineRule="auto"/>
              <w:rPr>
                <w:rFonts w:eastAsia="Times New Roman"/>
                <w:color w:val="000000"/>
                <w:sz w:val="22"/>
              </w:rPr>
            </w:pPr>
            <w:r w:rsidRPr="00C53AB7">
              <w:rPr>
                <w:rFonts w:eastAsia="Times New Roman"/>
                <w:color w:val="000000"/>
                <w:sz w:val="22"/>
              </w:rPr>
              <w:t>Planning for Instruction</w:t>
            </w:r>
          </w:p>
        </w:tc>
      </w:tr>
      <w:tr w:rsidR="00CC1F78" w:rsidRPr="00C53AB7" w14:paraId="510D2C04" w14:textId="77777777" w:rsidTr="00F944E2">
        <w:trPr>
          <w:trHeight w:val="319"/>
        </w:trPr>
        <w:tc>
          <w:tcPr>
            <w:tcW w:w="1255" w:type="dxa"/>
            <w:tcBorders>
              <w:top w:val="nil"/>
              <w:left w:val="nil"/>
              <w:bottom w:val="nil"/>
              <w:right w:val="nil"/>
            </w:tcBorders>
            <w:shd w:val="clear" w:color="auto" w:fill="auto"/>
            <w:noWrap/>
            <w:vAlign w:val="bottom"/>
            <w:hideMark/>
          </w:tcPr>
          <w:p w14:paraId="07F2EBC3" w14:textId="77777777" w:rsidR="00CC1F78" w:rsidRPr="00945266" w:rsidRDefault="00CC1F78" w:rsidP="00CC1F78">
            <w:pPr>
              <w:spacing w:after="0" w:line="240" w:lineRule="auto"/>
              <w:jc w:val="center"/>
              <w:rPr>
                <w:rFonts w:eastAsia="Times New Roman"/>
                <w:b/>
                <w:color w:val="000000"/>
                <w:sz w:val="22"/>
              </w:rPr>
            </w:pPr>
            <w:r w:rsidRPr="00945266">
              <w:rPr>
                <w:rFonts w:eastAsia="Times New Roman"/>
                <w:b/>
                <w:color w:val="000000"/>
                <w:sz w:val="22"/>
              </w:rPr>
              <w:t>6</w:t>
            </w:r>
          </w:p>
        </w:tc>
        <w:tc>
          <w:tcPr>
            <w:tcW w:w="1664" w:type="dxa"/>
            <w:tcBorders>
              <w:top w:val="nil"/>
              <w:left w:val="nil"/>
              <w:bottom w:val="nil"/>
              <w:right w:val="nil"/>
            </w:tcBorders>
            <w:shd w:val="clear" w:color="auto" w:fill="auto"/>
            <w:noWrap/>
            <w:vAlign w:val="bottom"/>
            <w:hideMark/>
          </w:tcPr>
          <w:p w14:paraId="0D4B5715"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InTASC 5</w:t>
            </w:r>
          </w:p>
        </w:tc>
        <w:tc>
          <w:tcPr>
            <w:tcW w:w="1617" w:type="dxa"/>
            <w:tcBorders>
              <w:top w:val="nil"/>
              <w:left w:val="nil"/>
              <w:bottom w:val="nil"/>
              <w:right w:val="nil"/>
            </w:tcBorders>
            <w:shd w:val="clear" w:color="auto" w:fill="auto"/>
            <w:noWrap/>
            <w:vAlign w:val="bottom"/>
            <w:hideMark/>
          </w:tcPr>
          <w:p w14:paraId="1E587FCC" w14:textId="77777777" w:rsidR="00CC1F78" w:rsidRPr="00C53AB7" w:rsidRDefault="00CC1F78" w:rsidP="00CC1F78">
            <w:pPr>
              <w:spacing w:after="0" w:line="240" w:lineRule="auto"/>
              <w:jc w:val="center"/>
              <w:rPr>
                <w:rFonts w:eastAsia="Times New Roman"/>
                <w:color w:val="000000"/>
                <w:sz w:val="22"/>
              </w:rPr>
            </w:pPr>
            <w:r w:rsidRPr="00C53AB7">
              <w:rPr>
                <w:rFonts w:eastAsia="Times New Roman"/>
                <w:color w:val="000000"/>
                <w:sz w:val="22"/>
              </w:rPr>
              <w:t>91%</w:t>
            </w:r>
          </w:p>
        </w:tc>
        <w:tc>
          <w:tcPr>
            <w:tcW w:w="4374" w:type="dxa"/>
            <w:tcBorders>
              <w:top w:val="nil"/>
              <w:left w:val="nil"/>
              <w:bottom w:val="nil"/>
              <w:right w:val="nil"/>
            </w:tcBorders>
            <w:shd w:val="clear" w:color="auto" w:fill="auto"/>
            <w:noWrap/>
            <w:vAlign w:val="bottom"/>
            <w:hideMark/>
          </w:tcPr>
          <w:p w14:paraId="442B6D4E" w14:textId="77777777" w:rsidR="00CC1F78" w:rsidRPr="00C53AB7" w:rsidRDefault="00CC1F78" w:rsidP="00CC1F78">
            <w:pPr>
              <w:spacing w:after="0" w:line="240" w:lineRule="auto"/>
              <w:rPr>
                <w:rFonts w:eastAsia="Times New Roman"/>
                <w:color w:val="000000"/>
                <w:sz w:val="22"/>
              </w:rPr>
            </w:pPr>
            <w:r w:rsidRPr="00C53AB7">
              <w:rPr>
                <w:rFonts w:eastAsia="Times New Roman"/>
                <w:color w:val="000000"/>
                <w:sz w:val="22"/>
              </w:rPr>
              <w:t>Application of Content</w:t>
            </w:r>
          </w:p>
        </w:tc>
      </w:tr>
      <w:tr w:rsidR="00CC1F78" w:rsidRPr="00C53AB7" w14:paraId="42CCA4D0" w14:textId="77777777" w:rsidTr="00F944E2">
        <w:trPr>
          <w:trHeight w:val="319"/>
        </w:trPr>
        <w:tc>
          <w:tcPr>
            <w:tcW w:w="1255" w:type="dxa"/>
            <w:tcBorders>
              <w:top w:val="nil"/>
              <w:left w:val="nil"/>
              <w:bottom w:val="nil"/>
              <w:right w:val="nil"/>
            </w:tcBorders>
            <w:shd w:val="clear" w:color="auto" w:fill="auto"/>
            <w:noWrap/>
            <w:vAlign w:val="bottom"/>
            <w:hideMark/>
          </w:tcPr>
          <w:p w14:paraId="015E77C3" w14:textId="77777777" w:rsidR="00CC1F78" w:rsidRPr="00945266" w:rsidRDefault="00CC1F78" w:rsidP="00CC1F78">
            <w:pPr>
              <w:spacing w:after="0" w:line="240" w:lineRule="auto"/>
              <w:jc w:val="center"/>
              <w:rPr>
                <w:rFonts w:eastAsia="Times New Roman"/>
                <w:b/>
                <w:color w:val="000000"/>
                <w:sz w:val="22"/>
              </w:rPr>
            </w:pPr>
            <w:r w:rsidRPr="00945266">
              <w:rPr>
                <w:rFonts w:eastAsia="Times New Roman"/>
                <w:b/>
                <w:color w:val="000000"/>
                <w:sz w:val="22"/>
              </w:rPr>
              <w:t>7</w:t>
            </w:r>
          </w:p>
        </w:tc>
        <w:tc>
          <w:tcPr>
            <w:tcW w:w="1664" w:type="dxa"/>
            <w:tcBorders>
              <w:top w:val="nil"/>
              <w:left w:val="nil"/>
              <w:bottom w:val="nil"/>
              <w:right w:val="nil"/>
            </w:tcBorders>
            <w:shd w:val="clear" w:color="auto" w:fill="auto"/>
            <w:noWrap/>
            <w:vAlign w:val="bottom"/>
            <w:hideMark/>
          </w:tcPr>
          <w:p w14:paraId="2025334E"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InTASC 8</w:t>
            </w:r>
          </w:p>
        </w:tc>
        <w:tc>
          <w:tcPr>
            <w:tcW w:w="1617" w:type="dxa"/>
            <w:tcBorders>
              <w:top w:val="nil"/>
              <w:left w:val="nil"/>
              <w:bottom w:val="nil"/>
              <w:right w:val="nil"/>
            </w:tcBorders>
            <w:shd w:val="clear" w:color="auto" w:fill="auto"/>
            <w:noWrap/>
            <w:vAlign w:val="bottom"/>
            <w:hideMark/>
          </w:tcPr>
          <w:p w14:paraId="4E2E0B68" w14:textId="77777777" w:rsidR="00CC1F78" w:rsidRPr="00C53AB7" w:rsidRDefault="00CC1F78" w:rsidP="00CC1F78">
            <w:pPr>
              <w:spacing w:after="0" w:line="240" w:lineRule="auto"/>
              <w:jc w:val="center"/>
              <w:rPr>
                <w:rFonts w:eastAsia="Times New Roman"/>
                <w:color w:val="000000"/>
                <w:sz w:val="22"/>
              </w:rPr>
            </w:pPr>
            <w:r w:rsidRPr="00C53AB7">
              <w:rPr>
                <w:rFonts w:eastAsia="Times New Roman"/>
                <w:color w:val="000000"/>
                <w:sz w:val="22"/>
              </w:rPr>
              <w:t>91%</w:t>
            </w:r>
          </w:p>
        </w:tc>
        <w:tc>
          <w:tcPr>
            <w:tcW w:w="4374" w:type="dxa"/>
            <w:tcBorders>
              <w:top w:val="nil"/>
              <w:left w:val="nil"/>
              <w:bottom w:val="nil"/>
              <w:right w:val="nil"/>
            </w:tcBorders>
            <w:shd w:val="clear" w:color="auto" w:fill="auto"/>
            <w:noWrap/>
            <w:vAlign w:val="bottom"/>
            <w:hideMark/>
          </w:tcPr>
          <w:p w14:paraId="5778727A" w14:textId="77777777" w:rsidR="00CC1F78" w:rsidRPr="00C53AB7" w:rsidRDefault="00CC1F78" w:rsidP="00CC1F78">
            <w:pPr>
              <w:spacing w:after="0" w:line="240" w:lineRule="auto"/>
              <w:rPr>
                <w:rFonts w:eastAsia="Times New Roman"/>
                <w:color w:val="000000"/>
                <w:sz w:val="22"/>
              </w:rPr>
            </w:pPr>
            <w:r w:rsidRPr="00C53AB7">
              <w:rPr>
                <w:rFonts w:eastAsia="Times New Roman"/>
                <w:color w:val="000000"/>
                <w:sz w:val="22"/>
              </w:rPr>
              <w:t>Instructional Strategies</w:t>
            </w:r>
          </w:p>
        </w:tc>
      </w:tr>
      <w:tr w:rsidR="00CC1F78" w:rsidRPr="00C53AB7" w14:paraId="23F1CF2F" w14:textId="77777777" w:rsidTr="00F944E2">
        <w:trPr>
          <w:trHeight w:val="319"/>
        </w:trPr>
        <w:tc>
          <w:tcPr>
            <w:tcW w:w="1255" w:type="dxa"/>
            <w:tcBorders>
              <w:top w:val="nil"/>
              <w:left w:val="nil"/>
              <w:bottom w:val="nil"/>
              <w:right w:val="nil"/>
            </w:tcBorders>
            <w:shd w:val="clear" w:color="auto" w:fill="auto"/>
            <w:noWrap/>
            <w:vAlign w:val="bottom"/>
            <w:hideMark/>
          </w:tcPr>
          <w:p w14:paraId="3FDB8805" w14:textId="77777777" w:rsidR="00CC1F78" w:rsidRPr="00945266" w:rsidRDefault="00CC1F78" w:rsidP="00CC1F78">
            <w:pPr>
              <w:spacing w:after="0" w:line="240" w:lineRule="auto"/>
              <w:jc w:val="center"/>
              <w:rPr>
                <w:rFonts w:eastAsia="Times New Roman"/>
                <w:b/>
                <w:color w:val="000000"/>
                <w:sz w:val="22"/>
              </w:rPr>
            </w:pPr>
            <w:r w:rsidRPr="00945266">
              <w:rPr>
                <w:rFonts w:eastAsia="Times New Roman"/>
                <w:b/>
                <w:color w:val="000000"/>
                <w:sz w:val="22"/>
              </w:rPr>
              <w:t>8</w:t>
            </w:r>
          </w:p>
        </w:tc>
        <w:tc>
          <w:tcPr>
            <w:tcW w:w="1664" w:type="dxa"/>
            <w:tcBorders>
              <w:top w:val="nil"/>
              <w:left w:val="nil"/>
              <w:bottom w:val="nil"/>
              <w:right w:val="nil"/>
            </w:tcBorders>
            <w:shd w:val="clear" w:color="auto" w:fill="auto"/>
            <w:noWrap/>
            <w:vAlign w:val="bottom"/>
            <w:hideMark/>
          </w:tcPr>
          <w:p w14:paraId="63FDF417"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InTASC 9</w:t>
            </w:r>
          </w:p>
        </w:tc>
        <w:tc>
          <w:tcPr>
            <w:tcW w:w="1617" w:type="dxa"/>
            <w:tcBorders>
              <w:top w:val="nil"/>
              <w:left w:val="nil"/>
              <w:bottom w:val="nil"/>
              <w:right w:val="nil"/>
            </w:tcBorders>
            <w:shd w:val="clear" w:color="auto" w:fill="auto"/>
            <w:noWrap/>
            <w:vAlign w:val="bottom"/>
            <w:hideMark/>
          </w:tcPr>
          <w:p w14:paraId="208A131D" w14:textId="77777777" w:rsidR="00CC1F78" w:rsidRPr="00C53AB7" w:rsidRDefault="00CC1F78" w:rsidP="00CC1F78">
            <w:pPr>
              <w:spacing w:after="0" w:line="240" w:lineRule="auto"/>
              <w:jc w:val="center"/>
              <w:rPr>
                <w:rFonts w:eastAsia="Times New Roman"/>
                <w:color w:val="000000"/>
                <w:sz w:val="22"/>
              </w:rPr>
            </w:pPr>
            <w:r w:rsidRPr="00C53AB7">
              <w:rPr>
                <w:rFonts w:eastAsia="Times New Roman"/>
                <w:color w:val="000000"/>
                <w:sz w:val="22"/>
              </w:rPr>
              <w:t>90%</w:t>
            </w:r>
          </w:p>
        </w:tc>
        <w:tc>
          <w:tcPr>
            <w:tcW w:w="4374" w:type="dxa"/>
            <w:tcBorders>
              <w:top w:val="nil"/>
              <w:left w:val="nil"/>
              <w:bottom w:val="nil"/>
              <w:right w:val="nil"/>
            </w:tcBorders>
            <w:shd w:val="clear" w:color="auto" w:fill="auto"/>
            <w:noWrap/>
            <w:vAlign w:val="bottom"/>
            <w:hideMark/>
          </w:tcPr>
          <w:p w14:paraId="6C0C0391" w14:textId="77777777" w:rsidR="00CC1F78" w:rsidRPr="00C53AB7" w:rsidRDefault="00CC1F78" w:rsidP="00CC1F78">
            <w:pPr>
              <w:spacing w:after="0" w:line="240" w:lineRule="auto"/>
              <w:rPr>
                <w:rFonts w:eastAsia="Times New Roman"/>
                <w:color w:val="000000"/>
                <w:sz w:val="22"/>
              </w:rPr>
            </w:pPr>
            <w:r w:rsidRPr="00C53AB7">
              <w:rPr>
                <w:rFonts w:eastAsia="Times New Roman"/>
                <w:color w:val="000000"/>
                <w:sz w:val="22"/>
              </w:rPr>
              <w:t>Professional Learning and Ethics</w:t>
            </w:r>
          </w:p>
        </w:tc>
      </w:tr>
      <w:tr w:rsidR="00CC1F78" w:rsidRPr="00C53AB7" w14:paraId="5A89ED0B" w14:textId="77777777" w:rsidTr="00F944E2">
        <w:trPr>
          <w:trHeight w:val="319"/>
        </w:trPr>
        <w:tc>
          <w:tcPr>
            <w:tcW w:w="1255" w:type="dxa"/>
            <w:tcBorders>
              <w:top w:val="nil"/>
              <w:left w:val="nil"/>
              <w:bottom w:val="nil"/>
              <w:right w:val="nil"/>
            </w:tcBorders>
            <w:shd w:val="clear" w:color="auto" w:fill="auto"/>
            <w:noWrap/>
            <w:vAlign w:val="bottom"/>
            <w:hideMark/>
          </w:tcPr>
          <w:p w14:paraId="0EA5FB25" w14:textId="77777777" w:rsidR="00CC1F78" w:rsidRPr="00945266" w:rsidRDefault="00CC1F78" w:rsidP="00CC1F78">
            <w:pPr>
              <w:spacing w:after="0" w:line="240" w:lineRule="auto"/>
              <w:jc w:val="center"/>
              <w:rPr>
                <w:rFonts w:eastAsia="Times New Roman"/>
                <w:b/>
                <w:color w:val="000000"/>
                <w:sz w:val="22"/>
              </w:rPr>
            </w:pPr>
            <w:r w:rsidRPr="00945266">
              <w:rPr>
                <w:rFonts w:eastAsia="Times New Roman"/>
                <w:b/>
                <w:color w:val="000000"/>
                <w:sz w:val="22"/>
              </w:rPr>
              <w:t>9</w:t>
            </w:r>
          </w:p>
        </w:tc>
        <w:tc>
          <w:tcPr>
            <w:tcW w:w="1664" w:type="dxa"/>
            <w:tcBorders>
              <w:top w:val="nil"/>
              <w:left w:val="nil"/>
              <w:bottom w:val="nil"/>
              <w:right w:val="nil"/>
            </w:tcBorders>
            <w:shd w:val="clear" w:color="auto" w:fill="auto"/>
            <w:noWrap/>
            <w:vAlign w:val="bottom"/>
            <w:hideMark/>
          </w:tcPr>
          <w:p w14:paraId="10A06F58"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InTASC 10</w:t>
            </w:r>
          </w:p>
        </w:tc>
        <w:tc>
          <w:tcPr>
            <w:tcW w:w="1617" w:type="dxa"/>
            <w:tcBorders>
              <w:top w:val="nil"/>
              <w:left w:val="nil"/>
              <w:bottom w:val="nil"/>
              <w:right w:val="nil"/>
            </w:tcBorders>
            <w:shd w:val="clear" w:color="auto" w:fill="auto"/>
            <w:noWrap/>
            <w:vAlign w:val="bottom"/>
            <w:hideMark/>
          </w:tcPr>
          <w:p w14:paraId="75DC3F95" w14:textId="77777777" w:rsidR="00CC1F78" w:rsidRPr="00C53AB7" w:rsidRDefault="00CC1F78" w:rsidP="00CC1F78">
            <w:pPr>
              <w:spacing w:after="0" w:line="240" w:lineRule="auto"/>
              <w:jc w:val="center"/>
              <w:rPr>
                <w:rFonts w:eastAsia="Times New Roman"/>
                <w:color w:val="000000"/>
                <w:sz w:val="22"/>
              </w:rPr>
            </w:pPr>
            <w:r w:rsidRPr="00C53AB7">
              <w:rPr>
                <w:rFonts w:eastAsia="Times New Roman"/>
                <w:color w:val="000000"/>
                <w:sz w:val="22"/>
              </w:rPr>
              <w:t>85%</w:t>
            </w:r>
          </w:p>
        </w:tc>
        <w:tc>
          <w:tcPr>
            <w:tcW w:w="4374" w:type="dxa"/>
            <w:tcBorders>
              <w:top w:val="nil"/>
              <w:left w:val="nil"/>
              <w:bottom w:val="nil"/>
              <w:right w:val="nil"/>
            </w:tcBorders>
            <w:shd w:val="clear" w:color="auto" w:fill="auto"/>
            <w:noWrap/>
            <w:vAlign w:val="bottom"/>
            <w:hideMark/>
          </w:tcPr>
          <w:p w14:paraId="1D803550" w14:textId="77777777" w:rsidR="00CC1F78" w:rsidRPr="00C53AB7" w:rsidRDefault="00CC1F78" w:rsidP="00CC1F78">
            <w:pPr>
              <w:spacing w:after="0" w:line="240" w:lineRule="auto"/>
              <w:rPr>
                <w:rFonts w:eastAsia="Times New Roman"/>
                <w:color w:val="000000"/>
                <w:sz w:val="22"/>
              </w:rPr>
            </w:pPr>
            <w:r w:rsidRPr="00C53AB7">
              <w:rPr>
                <w:rFonts w:eastAsia="Times New Roman"/>
                <w:color w:val="000000"/>
                <w:sz w:val="22"/>
              </w:rPr>
              <w:t>Leadership and Collaboration</w:t>
            </w:r>
          </w:p>
        </w:tc>
      </w:tr>
      <w:tr w:rsidR="00CC1F78" w:rsidRPr="00C53AB7" w14:paraId="288CA545" w14:textId="77777777" w:rsidTr="00F944E2">
        <w:trPr>
          <w:trHeight w:val="319"/>
        </w:trPr>
        <w:tc>
          <w:tcPr>
            <w:tcW w:w="1255" w:type="dxa"/>
            <w:tcBorders>
              <w:top w:val="nil"/>
              <w:left w:val="nil"/>
              <w:bottom w:val="single" w:sz="4" w:space="0" w:color="auto"/>
              <w:right w:val="nil"/>
            </w:tcBorders>
            <w:shd w:val="clear" w:color="auto" w:fill="auto"/>
            <w:noWrap/>
            <w:vAlign w:val="bottom"/>
            <w:hideMark/>
          </w:tcPr>
          <w:p w14:paraId="78579490" w14:textId="77777777" w:rsidR="00CC1F78" w:rsidRPr="00945266" w:rsidRDefault="00CC1F78" w:rsidP="00CC1F78">
            <w:pPr>
              <w:spacing w:after="0" w:line="240" w:lineRule="auto"/>
              <w:jc w:val="center"/>
              <w:rPr>
                <w:rFonts w:eastAsia="Times New Roman"/>
                <w:b/>
                <w:color w:val="000000"/>
                <w:sz w:val="22"/>
              </w:rPr>
            </w:pPr>
            <w:r w:rsidRPr="00945266">
              <w:rPr>
                <w:rFonts w:eastAsia="Times New Roman"/>
                <w:b/>
                <w:color w:val="000000"/>
                <w:sz w:val="22"/>
              </w:rPr>
              <w:t>10</w:t>
            </w:r>
          </w:p>
        </w:tc>
        <w:tc>
          <w:tcPr>
            <w:tcW w:w="1664" w:type="dxa"/>
            <w:tcBorders>
              <w:top w:val="nil"/>
              <w:left w:val="nil"/>
              <w:bottom w:val="single" w:sz="4" w:space="0" w:color="auto"/>
              <w:right w:val="nil"/>
            </w:tcBorders>
            <w:shd w:val="clear" w:color="auto" w:fill="auto"/>
            <w:noWrap/>
            <w:vAlign w:val="bottom"/>
            <w:hideMark/>
          </w:tcPr>
          <w:p w14:paraId="52EB42C9" w14:textId="77777777" w:rsidR="00CC1F78" w:rsidRPr="00C53AB7" w:rsidRDefault="00CC1F78" w:rsidP="00CC1F78">
            <w:pPr>
              <w:spacing w:after="0" w:line="240" w:lineRule="auto"/>
              <w:jc w:val="center"/>
              <w:rPr>
                <w:rFonts w:eastAsia="Times New Roman"/>
                <w:b/>
                <w:bCs/>
                <w:color w:val="000000"/>
                <w:sz w:val="22"/>
              </w:rPr>
            </w:pPr>
            <w:r w:rsidRPr="00C53AB7">
              <w:rPr>
                <w:rFonts w:eastAsia="Times New Roman"/>
                <w:b/>
                <w:bCs/>
                <w:color w:val="000000"/>
                <w:sz w:val="22"/>
              </w:rPr>
              <w:t>InTASC 3</w:t>
            </w:r>
          </w:p>
        </w:tc>
        <w:tc>
          <w:tcPr>
            <w:tcW w:w="1617" w:type="dxa"/>
            <w:tcBorders>
              <w:top w:val="nil"/>
              <w:left w:val="nil"/>
              <w:bottom w:val="single" w:sz="4" w:space="0" w:color="auto"/>
              <w:right w:val="nil"/>
            </w:tcBorders>
            <w:shd w:val="clear" w:color="auto" w:fill="auto"/>
            <w:noWrap/>
            <w:vAlign w:val="bottom"/>
            <w:hideMark/>
          </w:tcPr>
          <w:p w14:paraId="266DF735" w14:textId="77777777" w:rsidR="00CC1F78" w:rsidRPr="00C53AB7" w:rsidRDefault="00CC1F78" w:rsidP="00CC1F78">
            <w:pPr>
              <w:spacing w:after="0" w:line="240" w:lineRule="auto"/>
              <w:jc w:val="center"/>
              <w:rPr>
                <w:rFonts w:eastAsia="Times New Roman"/>
                <w:color w:val="000000"/>
                <w:sz w:val="22"/>
              </w:rPr>
            </w:pPr>
            <w:r w:rsidRPr="00C53AB7">
              <w:rPr>
                <w:rFonts w:eastAsia="Times New Roman"/>
                <w:color w:val="000000"/>
                <w:sz w:val="22"/>
              </w:rPr>
              <w:t>77%</w:t>
            </w:r>
          </w:p>
        </w:tc>
        <w:tc>
          <w:tcPr>
            <w:tcW w:w="4374" w:type="dxa"/>
            <w:tcBorders>
              <w:top w:val="nil"/>
              <w:left w:val="nil"/>
              <w:bottom w:val="single" w:sz="4" w:space="0" w:color="auto"/>
              <w:right w:val="nil"/>
            </w:tcBorders>
            <w:shd w:val="clear" w:color="auto" w:fill="auto"/>
            <w:noWrap/>
            <w:vAlign w:val="bottom"/>
            <w:hideMark/>
          </w:tcPr>
          <w:p w14:paraId="63B16C17" w14:textId="77777777" w:rsidR="00CC1F78" w:rsidRPr="00C53AB7" w:rsidRDefault="00CC1F78" w:rsidP="00CC1F78">
            <w:pPr>
              <w:spacing w:after="0" w:line="240" w:lineRule="auto"/>
              <w:rPr>
                <w:rFonts w:eastAsia="Times New Roman"/>
                <w:color w:val="000000"/>
                <w:sz w:val="22"/>
              </w:rPr>
            </w:pPr>
            <w:r w:rsidRPr="00C53AB7">
              <w:rPr>
                <w:rFonts w:eastAsia="Times New Roman"/>
                <w:color w:val="000000"/>
                <w:sz w:val="22"/>
              </w:rPr>
              <w:t>Learning Environment</w:t>
            </w:r>
          </w:p>
        </w:tc>
      </w:tr>
    </w:tbl>
    <w:p w14:paraId="36AD05A9" w14:textId="77777777" w:rsidR="00726E0C" w:rsidRDefault="00C53AB7" w:rsidP="00C53AB7">
      <w:r>
        <w:t xml:space="preserve">The Standards are next ranked in Table 3 on the right according to the combined Exemplary and Proficient responses found in Table 2 along with a descriptor of each standard.  There is very little difference, 5%, between the standards that rank in the first eight ranks. </w:t>
      </w:r>
      <w:r w:rsidR="008E5E0C">
        <w:t xml:space="preserve"> </w:t>
      </w:r>
      <w:r>
        <w:t>Nevertheless, Leadership/Collaboration and Learning Environment</w:t>
      </w:r>
      <w:r w:rsidR="00726E0C">
        <w:t xml:space="preserve"> are noticeably lower.  A further breakdown of the responses is instructive in better understanding the data for these standards.</w:t>
      </w:r>
    </w:p>
    <w:p w14:paraId="26BEE3B6" w14:textId="77777777" w:rsidR="001F2325" w:rsidRDefault="001F2325" w:rsidP="001F2325">
      <w:r>
        <w:t>Table 4 shows the rank order for just the Exemplary responses, Table 5 presents the rank order for the Proficient responses, and Table 6 ranks the standards according to the least number of Developing responses.  That is, a low score or high rank in each of the three tables is the most desirable standing while a higher score or low rank is the least desirable in each of the next three tables.</w:t>
      </w:r>
    </w:p>
    <w:p w14:paraId="04328341" w14:textId="77777777" w:rsidR="00A378D5" w:rsidRPr="00464159" w:rsidRDefault="00464159" w:rsidP="00E755E4">
      <w:pPr>
        <w:pStyle w:val="Heading3"/>
      </w:pPr>
      <w:r>
        <w:tab/>
      </w:r>
      <w:bookmarkStart w:id="21" w:name="_Toc493221890"/>
      <w:r w:rsidR="00A378D5" w:rsidRPr="00464159">
        <w:t xml:space="preserve">InTASC </w:t>
      </w:r>
      <w:r w:rsidR="00F944E2">
        <w:t xml:space="preserve">standards’ </w:t>
      </w:r>
      <w:r w:rsidRPr="00464159">
        <w:t>r</w:t>
      </w:r>
      <w:r w:rsidR="00A378D5" w:rsidRPr="00464159">
        <w:t xml:space="preserve">ankings </w:t>
      </w:r>
      <w:r w:rsidRPr="00464159">
        <w:t>i</w:t>
      </w:r>
      <w:r w:rsidR="00A378D5" w:rsidRPr="00464159">
        <w:t xml:space="preserve">ndividually </w:t>
      </w:r>
      <w:r>
        <w:t xml:space="preserve">and collectively </w:t>
      </w:r>
      <w:r w:rsidR="00A378D5" w:rsidRPr="00464159">
        <w:t>by levels of achievement.</w:t>
      </w:r>
      <w:bookmarkEnd w:id="21"/>
    </w:p>
    <w:p w14:paraId="20E208B1" w14:textId="77777777" w:rsidR="001F2325" w:rsidRPr="00A378D5" w:rsidRDefault="00A378D5" w:rsidP="00A378D5">
      <w:r w:rsidRPr="00A378D5">
        <w:t xml:space="preserve">In order to more clearly understand </w:t>
      </w:r>
      <w:r>
        <w:t>the</w:t>
      </w:r>
      <w:r w:rsidRPr="00A378D5">
        <w:t xml:space="preserve"> degree </w:t>
      </w:r>
      <w:r>
        <w:t xml:space="preserve">to which </w:t>
      </w:r>
      <w:r w:rsidRPr="00A378D5">
        <w:t>each of the standards w</w:t>
      </w:r>
      <w:r w:rsidR="008E5E0C">
        <w:t>as</w:t>
      </w:r>
      <w:r w:rsidRPr="00A378D5">
        <w:t xml:space="preserve"> being met as evidenced by </w:t>
      </w:r>
      <w:r w:rsidR="00464159">
        <w:t xml:space="preserve">the </w:t>
      </w:r>
      <w:r>
        <w:t xml:space="preserve">scores </w:t>
      </w:r>
      <w:r w:rsidR="00464159">
        <w:t xml:space="preserve">taken from </w:t>
      </w:r>
      <w:r>
        <w:t xml:space="preserve">the assessments </w:t>
      </w:r>
      <w:r w:rsidR="00464159">
        <w:t>appropriate InTASC Standard for each assessment level, i.e., Exemplary, Proficient, and Developing</w:t>
      </w:r>
      <w:r w:rsidR="008E5E0C">
        <w:t xml:space="preserve">,  the percentage of responses for each level per each standard.  Tables 4, 5, and 6 show the various ranks depending upon magnitude of frequencies of Exemplary/Proficient responses for each of the three qualifiers. </w:t>
      </w:r>
      <w:r w:rsidR="00464159">
        <w:t xml:space="preserve"> </w:t>
      </w:r>
      <w:r w:rsidR="008E5E0C">
        <w:t>The column by which the rankings were generated in those three tables is bolded to highlight the qualifier.</w:t>
      </w:r>
      <w:r>
        <w:t xml:space="preserve"> </w:t>
      </w:r>
      <w:r w:rsidR="001F2325" w:rsidRPr="00A378D5">
        <w:br w:type="page"/>
      </w:r>
    </w:p>
    <w:tbl>
      <w:tblPr>
        <w:tblW w:w="9456" w:type="dxa"/>
        <w:tblInd w:w="93" w:type="dxa"/>
        <w:tblLook w:val="04A0" w:firstRow="1" w:lastRow="0" w:firstColumn="1" w:lastColumn="0" w:noHBand="0" w:noVBand="1"/>
      </w:tblPr>
      <w:tblGrid>
        <w:gridCol w:w="730"/>
        <w:gridCol w:w="1302"/>
        <w:gridCol w:w="1265"/>
        <w:gridCol w:w="1145"/>
        <w:gridCol w:w="1281"/>
        <w:gridCol w:w="3733"/>
      </w:tblGrid>
      <w:tr w:rsidR="004E0914" w:rsidRPr="004E0914" w14:paraId="75A2310E" w14:textId="77777777" w:rsidTr="009834C1">
        <w:trPr>
          <w:trHeight w:val="315"/>
        </w:trPr>
        <w:tc>
          <w:tcPr>
            <w:tcW w:w="9456" w:type="dxa"/>
            <w:gridSpan w:val="6"/>
            <w:vMerge w:val="restart"/>
            <w:tcBorders>
              <w:top w:val="single" w:sz="4" w:space="0" w:color="auto"/>
              <w:left w:val="nil"/>
              <w:bottom w:val="single" w:sz="4" w:space="0" w:color="000000"/>
              <w:right w:val="nil"/>
            </w:tcBorders>
            <w:shd w:val="clear" w:color="auto" w:fill="auto"/>
            <w:noWrap/>
            <w:vAlign w:val="center"/>
            <w:hideMark/>
          </w:tcPr>
          <w:p w14:paraId="1A742AFF" w14:textId="77777777" w:rsidR="004E0914" w:rsidRPr="004E0914" w:rsidRDefault="002F5554" w:rsidP="00290AD3">
            <w:pPr>
              <w:spacing w:after="0" w:line="240" w:lineRule="auto"/>
              <w:jc w:val="center"/>
              <w:rPr>
                <w:rFonts w:eastAsia="Times New Roman"/>
                <w:b/>
                <w:bCs/>
                <w:color w:val="000000"/>
                <w:sz w:val="26"/>
                <w:szCs w:val="26"/>
              </w:rPr>
            </w:pPr>
            <w:bookmarkStart w:id="22" w:name="_Toc492828026"/>
            <w:r w:rsidRPr="002F5554">
              <w:rPr>
                <w:b/>
                <w:sz w:val="26"/>
                <w:szCs w:val="26"/>
              </w:rPr>
              <w:lastRenderedPageBreak/>
              <w:t xml:space="preserve">Table </w:t>
            </w:r>
            <w:r w:rsidRPr="002F5554">
              <w:rPr>
                <w:b/>
                <w:sz w:val="26"/>
                <w:szCs w:val="26"/>
              </w:rPr>
              <w:fldChar w:fldCharType="begin"/>
            </w:r>
            <w:r w:rsidRPr="002F5554">
              <w:rPr>
                <w:b/>
                <w:sz w:val="26"/>
                <w:szCs w:val="26"/>
              </w:rPr>
              <w:instrText xml:space="preserve"> SEQ Table \* ARABIC </w:instrText>
            </w:r>
            <w:r w:rsidRPr="002F5554">
              <w:rPr>
                <w:b/>
                <w:sz w:val="26"/>
                <w:szCs w:val="26"/>
              </w:rPr>
              <w:fldChar w:fldCharType="separate"/>
            </w:r>
            <w:r w:rsidR="0010294F">
              <w:rPr>
                <w:b/>
                <w:noProof/>
                <w:sz w:val="26"/>
                <w:szCs w:val="26"/>
              </w:rPr>
              <w:t>4</w:t>
            </w:r>
            <w:r w:rsidRPr="002F5554">
              <w:rPr>
                <w:b/>
                <w:sz w:val="26"/>
                <w:szCs w:val="26"/>
              </w:rPr>
              <w:fldChar w:fldCharType="end"/>
            </w:r>
            <w:r w:rsidR="004E0914" w:rsidRPr="004E0914">
              <w:rPr>
                <w:rFonts w:eastAsia="Times New Roman"/>
                <w:b/>
                <w:bCs/>
                <w:color w:val="000000"/>
                <w:sz w:val="26"/>
                <w:szCs w:val="26"/>
              </w:rPr>
              <w:t xml:space="preserve">: Rank of InTASC Standards by </w:t>
            </w:r>
            <w:r w:rsidR="004E0914" w:rsidRPr="00F13BF5">
              <w:rPr>
                <w:rFonts w:eastAsia="Times New Roman"/>
                <w:b/>
                <w:bCs/>
                <w:i/>
                <w:color w:val="000000"/>
                <w:sz w:val="26"/>
                <w:szCs w:val="26"/>
              </w:rPr>
              <w:t>Exemplary</w:t>
            </w:r>
            <w:r w:rsidR="004E0914" w:rsidRPr="004E0914">
              <w:rPr>
                <w:rFonts w:eastAsia="Times New Roman"/>
                <w:b/>
                <w:bCs/>
                <w:color w:val="000000"/>
                <w:sz w:val="26"/>
                <w:szCs w:val="26"/>
              </w:rPr>
              <w:t xml:space="preserve"> Frequency</w:t>
            </w:r>
            <w:bookmarkEnd w:id="22"/>
          </w:p>
        </w:tc>
      </w:tr>
      <w:tr w:rsidR="004E0914" w:rsidRPr="004E0914" w14:paraId="5584E56D" w14:textId="77777777" w:rsidTr="009834C1">
        <w:trPr>
          <w:trHeight w:val="379"/>
        </w:trPr>
        <w:tc>
          <w:tcPr>
            <w:tcW w:w="9456" w:type="dxa"/>
            <w:gridSpan w:val="6"/>
            <w:vMerge/>
            <w:tcBorders>
              <w:top w:val="single" w:sz="4" w:space="0" w:color="auto"/>
              <w:left w:val="nil"/>
              <w:bottom w:val="single" w:sz="4" w:space="0" w:color="000000"/>
              <w:right w:val="nil"/>
            </w:tcBorders>
            <w:vAlign w:val="center"/>
            <w:hideMark/>
          </w:tcPr>
          <w:p w14:paraId="6A40DDAB" w14:textId="77777777" w:rsidR="004E0914" w:rsidRPr="004E0914" w:rsidRDefault="004E0914" w:rsidP="004E0914">
            <w:pPr>
              <w:spacing w:after="0" w:line="240" w:lineRule="auto"/>
              <w:rPr>
                <w:rFonts w:eastAsia="Times New Roman"/>
                <w:b/>
                <w:bCs/>
                <w:color w:val="000000"/>
                <w:sz w:val="26"/>
                <w:szCs w:val="26"/>
              </w:rPr>
            </w:pPr>
          </w:p>
        </w:tc>
      </w:tr>
      <w:tr w:rsidR="004E0914" w:rsidRPr="004E0914" w14:paraId="1728CE37" w14:textId="77777777" w:rsidTr="009834C1">
        <w:trPr>
          <w:trHeight w:val="300"/>
        </w:trPr>
        <w:tc>
          <w:tcPr>
            <w:tcW w:w="730" w:type="dxa"/>
            <w:tcBorders>
              <w:top w:val="nil"/>
              <w:left w:val="nil"/>
              <w:bottom w:val="nil"/>
              <w:right w:val="nil"/>
            </w:tcBorders>
            <w:shd w:val="clear" w:color="auto" w:fill="auto"/>
            <w:noWrap/>
            <w:vAlign w:val="bottom"/>
            <w:hideMark/>
          </w:tcPr>
          <w:p w14:paraId="66626D8C" w14:textId="77777777" w:rsidR="004E0914" w:rsidRPr="004E0914" w:rsidRDefault="004E0914" w:rsidP="004E0914">
            <w:pPr>
              <w:spacing w:after="0" w:line="240" w:lineRule="auto"/>
              <w:rPr>
                <w:rFonts w:eastAsia="Times New Roman"/>
                <w:color w:val="000000"/>
                <w:sz w:val="22"/>
              </w:rPr>
            </w:pPr>
          </w:p>
        </w:tc>
        <w:tc>
          <w:tcPr>
            <w:tcW w:w="1302" w:type="dxa"/>
            <w:tcBorders>
              <w:top w:val="nil"/>
              <w:left w:val="nil"/>
              <w:bottom w:val="nil"/>
              <w:right w:val="nil"/>
            </w:tcBorders>
            <w:shd w:val="clear" w:color="auto" w:fill="auto"/>
            <w:noWrap/>
            <w:vAlign w:val="bottom"/>
            <w:hideMark/>
          </w:tcPr>
          <w:p w14:paraId="691183BA" w14:textId="77777777" w:rsidR="004E0914" w:rsidRPr="004E0914" w:rsidRDefault="004E0914" w:rsidP="004E0914">
            <w:pPr>
              <w:spacing w:after="0" w:line="240" w:lineRule="auto"/>
              <w:rPr>
                <w:rFonts w:eastAsia="Times New Roman"/>
                <w:color w:val="000000"/>
                <w:sz w:val="22"/>
              </w:rPr>
            </w:pPr>
          </w:p>
        </w:tc>
        <w:tc>
          <w:tcPr>
            <w:tcW w:w="1265" w:type="dxa"/>
            <w:tcBorders>
              <w:top w:val="nil"/>
              <w:left w:val="nil"/>
              <w:bottom w:val="nil"/>
              <w:right w:val="nil"/>
            </w:tcBorders>
            <w:shd w:val="clear" w:color="auto" w:fill="auto"/>
            <w:noWrap/>
            <w:vAlign w:val="bottom"/>
            <w:hideMark/>
          </w:tcPr>
          <w:p w14:paraId="5FF757AD" w14:textId="77777777" w:rsidR="001F2325" w:rsidRPr="004E0914" w:rsidRDefault="001F2325" w:rsidP="004E0914">
            <w:pPr>
              <w:spacing w:after="0" w:line="240" w:lineRule="auto"/>
              <w:rPr>
                <w:rFonts w:eastAsia="Times New Roman"/>
                <w:b/>
                <w:bCs/>
                <w:color w:val="000000"/>
                <w:sz w:val="22"/>
              </w:rPr>
            </w:pPr>
            <w:r w:rsidRPr="001F2325">
              <w:rPr>
                <w:rFonts w:eastAsia="Times New Roman"/>
                <w:b/>
                <w:color w:val="000000"/>
                <w:sz w:val="22"/>
              </w:rPr>
              <w:t>Sorted by</w:t>
            </w:r>
          </w:p>
        </w:tc>
        <w:tc>
          <w:tcPr>
            <w:tcW w:w="1145" w:type="dxa"/>
            <w:tcBorders>
              <w:top w:val="nil"/>
              <w:left w:val="nil"/>
              <w:bottom w:val="nil"/>
              <w:right w:val="nil"/>
            </w:tcBorders>
            <w:shd w:val="clear" w:color="auto" w:fill="auto"/>
            <w:noWrap/>
            <w:vAlign w:val="bottom"/>
            <w:hideMark/>
          </w:tcPr>
          <w:p w14:paraId="2EEB7146" w14:textId="77777777" w:rsidR="004E0914" w:rsidRPr="004E0914" w:rsidRDefault="004E0914" w:rsidP="004E0914">
            <w:pPr>
              <w:spacing w:after="0" w:line="240" w:lineRule="auto"/>
              <w:rPr>
                <w:rFonts w:eastAsia="Times New Roman"/>
                <w:color w:val="000000"/>
                <w:sz w:val="22"/>
              </w:rPr>
            </w:pPr>
          </w:p>
        </w:tc>
        <w:tc>
          <w:tcPr>
            <w:tcW w:w="1281" w:type="dxa"/>
            <w:tcBorders>
              <w:top w:val="nil"/>
              <w:left w:val="nil"/>
              <w:bottom w:val="nil"/>
              <w:right w:val="nil"/>
            </w:tcBorders>
            <w:shd w:val="clear" w:color="auto" w:fill="auto"/>
            <w:noWrap/>
            <w:vAlign w:val="bottom"/>
            <w:hideMark/>
          </w:tcPr>
          <w:p w14:paraId="196553B6" w14:textId="77777777" w:rsidR="004E0914" w:rsidRPr="004E0914" w:rsidRDefault="004E0914" w:rsidP="004E0914">
            <w:pPr>
              <w:spacing w:after="0" w:line="240" w:lineRule="auto"/>
              <w:rPr>
                <w:rFonts w:eastAsia="Times New Roman"/>
                <w:color w:val="000000"/>
                <w:sz w:val="22"/>
              </w:rPr>
            </w:pPr>
          </w:p>
        </w:tc>
        <w:tc>
          <w:tcPr>
            <w:tcW w:w="3733" w:type="dxa"/>
            <w:tcBorders>
              <w:top w:val="nil"/>
              <w:left w:val="nil"/>
              <w:bottom w:val="nil"/>
              <w:right w:val="nil"/>
            </w:tcBorders>
            <w:shd w:val="clear" w:color="auto" w:fill="auto"/>
            <w:noWrap/>
            <w:vAlign w:val="bottom"/>
            <w:hideMark/>
          </w:tcPr>
          <w:p w14:paraId="5F493951" w14:textId="77777777" w:rsidR="004E0914" w:rsidRPr="004E0914" w:rsidRDefault="009834C1" w:rsidP="009834C1">
            <w:pPr>
              <w:spacing w:after="0" w:line="240" w:lineRule="auto"/>
              <w:jc w:val="center"/>
              <w:rPr>
                <w:rFonts w:eastAsia="Times New Roman"/>
                <w:color w:val="000000"/>
                <w:sz w:val="22"/>
              </w:rPr>
            </w:pPr>
            <w:r w:rsidRPr="00C53AB7">
              <w:rPr>
                <w:rFonts w:eastAsia="Times New Roman"/>
                <w:b/>
                <w:bCs/>
                <w:color w:val="000000"/>
                <w:sz w:val="22"/>
              </w:rPr>
              <w:t>InTASC Standard</w:t>
            </w:r>
          </w:p>
        </w:tc>
      </w:tr>
      <w:tr w:rsidR="004E0914" w:rsidRPr="004E0914" w14:paraId="34D88984" w14:textId="77777777" w:rsidTr="009834C1">
        <w:trPr>
          <w:trHeight w:val="300"/>
        </w:trPr>
        <w:tc>
          <w:tcPr>
            <w:tcW w:w="730" w:type="dxa"/>
            <w:tcBorders>
              <w:top w:val="nil"/>
              <w:left w:val="nil"/>
              <w:bottom w:val="nil"/>
              <w:right w:val="nil"/>
            </w:tcBorders>
            <w:shd w:val="clear" w:color="auto" w:fill="auto"/>
            <w:noWrap/>
            <w:vAlign w:val="bottom"/>
            <w:hideMark/>
          </w:tcPr>
          <w:p w14:paraId="137BDC24"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Rank</w:t>
            </w:r>
          </w:p>
        </w:tc>
        <w:tc>
          <w:tcPr>
            <w:tcW w:w="1302" w:type="dxa"/>
            <w:tcBorders>
              <w:top w:val="nil"/>
              <w:left w:val="nil"/>
              <w:bottom w:val="nil"/>
              <w:right w:val="nil"/>
            </w:tcBorders>
            <w:shd w:val="clear" w:color="auto" w:fill="auto"/>
            <w:noWrap/>
            <w:vAlign w:val="bottom"/>
            <w:hideMark/>
          </w:tcPr>
          <w:p w14:paraId="11B9017C"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Standard</w:t>
            </w:r>
          </w:p>
        </w:tc>
        <w:tc>
          <w:tcPr>
            <w:tcW w:w="1265" w:type="dxa"/>
            <w:tcBorders>
              <w:top w:val="nil"/>
              <w:left w:val="nil"/>
              <w:bottom w:val="nil"/>
              <w:right w:val="nil"/>
            </w:tcBorders>
            <w:shd w:val="clear" w:color="auto" w:fill="auto"/>
            <w:noWrap/>
            <w:vAlign w:val="bottom"/>
            <w:hideMark/>
          </w:tcPr>
          <w:p w14:paraId="017AB290"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Exemplary</w:t>
            </w:r>
          </w:p>
        </w:tc>
        <w:tc>
          <w:tcPr>
            <w:tcW w:w="1145" w:type="dxa"/>
            <w:tcBorders>
              <w:top w:val="nil"/>
              <w:left w:val="nil"/>
              <w:bottom w:val="nil"/>
              <w:right w:val="nil"/>
            </w:tcBorders>
            <w:shd w:val="clear" w:color="auto" w:fill="auto"/>
            <w:noWrap/>
            <w:vAlign w:val="bottom"/>
            <w:hideMark/>
          </w:tcPr>
          <w:p w14:paraId="5B2100D9" w14:textId="77777777" w:rsidR="004E0914" w:rsidRPr="001F2325" w:rsidRDefault="004E0914" w:rsidP="004E0914">
            <w:pPr>
              <w:spacing w:after="0" w:line="240" w:lineRule="auto"/>
              <w:rPr>
                <w:rFonts w:eastAsia="Times New Roman"/>
                <w:bCs/>
                <w:color w:val="000000"/>
                <w:sz w:val="22"/>
              </w:rPr>
            </w:pPr>
            <w:r w:rsidRPr="001F2325">
              <w:rPr>
                <w:rFonts w:eastAsia="Times New Roman"/>
                <w:bCs/>
                <w:color w:val="000000"/>
                <w:sz w:val="22"/>
              </w:rPr>
              <w:t>Proficient</w:t>
            </w:r>
          </w:p>
        </w:tc>
        <w:tc>
          <w:tcPr>
            <w:tcW w:w="1281" w:type="dxa"/>
            <w:tcBorders>
              <w:top w:val="nil"/>
              <w:left w:val="nil"/>
              <w:bottom w:val="nil"/>
              <w:right w:val="nil"/>
            </w:tcBorders>
            <w:shd w:val="clear" w:color="auto" w:fill="auto"/>
            <w:noWrap/>
            <w:vAlign w:val="bottom"/>
            <w:hideMark/>
          </w:tcPr>
          <w:p w14:paraId="1C2A6A10" w14:textId="77777777" w:rsidR="004E0914" w:rsidRPr="001F2325" w:rsidRDefault="004E0914" w:rsidP="004E0914">
            <w:pPr>
              <w:spacing w:after="0" w:line="240" w:lineRule="auto"/>
              <w:rPr>
                <w:rFonts w:eastAsia="Times New Roman"/>
                <w:bCs/>
                <w:color w:val="000000"/>
                <w:sz w:val="22"/>
              </w:rPr>
            </w:pPr>
            <w:r w:rsidRPr="001F2325">
              <w:rPr>
                <w:rFonts w:eastAsia="Times New Roman"/>
                <w:bCs/>
                <w:color w:val="000000"/>
                <w:sz w:val="22"/>
              </w:rPr>
              <w:t>Developing</w:t>
            </w:r>
          </w:p>
        </w:tc>
        <w:tc>
          <w:tcPr>
            <w:tcW w:w="3733" w:type="dxa"/>
            <w:tcBorders>
              <w:top w:val="nil"/>
              <w:left w:val="nil"/>
              <w:bottom w:val="nil"/>
              <w:right w:val="nil"/>
            </w:tcBorders>
            <w:shd w:val="clear" w:color="auto" w:fill="auto"/>
            <w:noWrap/>
            <w:vAlign w:val="bottom"/>
            <w:hideMark/>
          </w:tcPr>
          <w:p w14:paraId="2233B5F7" w14:textId="77777777" w:rsidR="004E0914" w:rsidRPr="004E0914" w:rsidRDefault="009834C1" w:rsidP="009834C1">
            <w:pPr>
              <w:spacing w:after="0" w:line="240" w:lineRule="auto"/>
              <w:jc w:val="center"/>
              <w:rPr>
                <w:rFonts w:eastAsia="Times New Roman"/>
                <w:b/>
                <w:color w:val="000000"/>
                <w:sz w:val="22"/>
              </w:rPr>
            </w:pPr>
            <w:r w:rsidRPr="009834C1">
              <w:rPr>
                <w:rFonts w:eastAsia="Times New Roman"/>
                <w:b/>
                <w:color w:val="000000"/>
                <w:sz w:val="22"/>
              </w:rPr>
              <w:t>Descriptor</w:t>
            </w:r>
          </w:p>
        </w:tc>
      </w:tr>
      <w:tr w:rsidR="004E0914" w:rsidRPr="004E0914" w14:paraId="4F724DDC" w14:textId="77777777" w:rsidTr="009834C1">
        <w:trPr>
          <w:trHeight w:val="300"/>
        </w:trPr>
        <w:tc>
          <w:tcPr>
            <w:tcW w:w="730" w:type="dxa"/>
            <w:tcBorders>
              <w:top w:val="single" w:sz="4" w:space="0" w:color="auto"/>
              <w:left w:val="nil"/>
              <w:bottom w:val="nil"/>
              <w:right w:val="nil"/>
            </w:tcBorders>
            <w:shd w:val="clear" w:color="auto" w:fill="auto"/>
            <w:noWrap/>
            <w:vAlign w:val="bottom"/>
            <w:hideMark/>
          </w:tcPr>
          <w:p w14:paraId="72205D0C"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1</w:t>
            </w:r>
          </w:p>
        </w:tc>
        <w:tc>
          <w:tcPr>
            <w:tcW w:w="1302" w:type="dxa"/>
            <w:tcBorders>
              <w:top w:val="single" w:sz="4" w:space="0" w:color="auto"/>
              <w:left w:val="nil"/>
              <w:bottom w:val="nil"/>
              <w:right w:val="nil"/>
            </w:tcBorders>
            <w:shd w:val="clear" w:color="auto" w:fill="auto"/>
            <w:noWrap/>
            <w:vAlign w:val="bottom"/>
            <w:hideMark/>
          </w:tcPr>
          <w:p w14:paraId="5E9E9C3B" w14:textId="77777777" w:rsidR="004E0914" w:rsidRPr="004E0914" w:rsidRDefault="004E0914" w:rsidP="004E0914">
            <w:pPr>
              <w:spacing w:after="0" w:line="240" w:lineRule="auto"/>
              <w:jc w:val="right"/>
              <w:rPr>
                <w:rFonts w:eastAsia="Times New Roman"/>
                <w:b/>
                <w:bCs/>
                <w:color w:val="000000"/>
                <w:sz w:val="22"/>
              </w:rPr>
            </w:pPr>
            <w:r w:rsidRPr="004E0914">
              <w:rPr>
                <w:rFonts w:eastAsia="Times New Roman"/>
                <w:b/>
                <w:bCs/>
                <w:color w:val="000000"/>
                <w:sz w:val="22"/>
              </w:rPr>
              <w:t>InTASC 3</w:t>
            </w:r>
          </w:p>
        </w:tc>
        <w:tc>
          <w:tcPr>
            <w:tcW w:w="1265" w:type="dxa"/>
            <w:tcBorders>
              <w:top w:val="single" w:sz="4" w:space="0" w:color="auto"/>
              <w:left w:val="nil"/>
              <w:bottom w:val="nil"/>
              <w:right w:val="nil"/>
            </w:tcBorders>
            <w:shd w:val="clear" w:color="auto" w:fill="auto"/>
            <w:noWrap/>
            <w:vAlign w:val="bottom"/>
            <w:hideMark/>
          </w:tcPr>
          <w:p w14:paraId="05DC5B7A"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21%</w:t>
            </w:r>
          </w:p>
        </w:tc>
        <w:tc>
          <w:tcPr>
            <w:tcW w:w="1145" w:type="dxa"/>
            <w:tcBorders>
              <w:top w:val="single" w:sz="4" w:space="0" w:color="auto"/>
              <w:left w:val="nil"/>
              <w:bottom w:val="nil"/>
              <w:right w:val="nil"/>
            </w:tcBorders>
            <w:shd w:val="clear" w:color="auto" w:fill="auto"/>
            <w:noWrap/>
            <w:vAlign w:val="bottom"/>
            <w:hideMark/>
          </w:tcPr>
          <w:p w14:paraId="71AE1B34"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56%</w:t>
            </w:r>
          </w:p>
        </w:tc>
        <w:tc>
          <w:tcPr>
            <w:tcW w:w="1281" w:type="dxa"/>
            <w:tcBorders>
              <w:top w:val="single" w:sz="4" w:space="0" w:color="auto"/>
              <w:left w:val="nil"/>
              <w:bottom w:val="nil"/>
              <w:right w:val="nil"/>
            </w:tcBorders>
            <w:shd w:val="clear" w:color="auto" w:fill="auto"/>
            <w:noWrap/>
            <w:vAlign w:val="bottom"/>
            <w:hideMark/>
          </w:tcPr>
          <w:p w14:paraId="3F568976"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23%</w:t>
            </w:r>
          </w:p>
        </w:tc>
        <w:tc>
          <w:tcPr>
            <w:tcW w:w="3733" w:type="dxa"/>
            <w:tcBorders>
              <w:top w:val="single" w:sz="4" w:space="0" w:color="auto"/>
              <w:left w:val="nil"/>
              <w:bottom w:val="nil"/>
              <w:right w:val="nil"/>
            </w:tcBorders>
            <w:shd w:val="clear" w:color="auto" w:fill="auto"/>
            <w:noWrap/>
            <w:vAlign w:val="bottom"/>
            <w:hideMark/>
          </w:tcPr>
          <w:p w14:paraId="75E4392C"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Learning Environment</w:t>
            </w:r>
          </w:p>
        </w:tc>
      </w:tr>
      <w:tr w:rsidR="004E0914" w:rsidRPr="004E0914" w14:paraId="3C2DE36A" w14:textId="77777777" w:rsidTr="009834C1">
        <w:trPr>
          <w:trHeight w:val="300"/>
        </w:trPr>
        <w:tc>
          <w:tcPr>
            <w:tcW w:w="730" w:type="dxa"/>
            <w:tcBorders>
              <w:top w:val="nil"/>
              <w:left w:val="nil"/>
              <w:bottom w:val="nil"/>
              <w:right w:val="nil"/>
            </w:tcBorders>
            <w:shd w:val="clear" w:color="auto" w:fill="auto"/>
            <w:noWrap/>
            <w:vAlign w:val="bottom"/>
            <w:hideMark/>
          </w:tcPr>
          <w:p w14:paraId="6F21DAF1"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2</w:t>
            </w:r>
          </w:p>
        </w:tc>
        <w:tc>
          <w:tcPr>
            <w:tcW w:w="1302" w:type="dxa"/>
            <w:tcBorders>
              <w:top w:val="nil"/>
              <w:left w:val="nil"/>
              <w:bottom w:val="nil"/>
              <w:right w:val="nil"/>
            </w:tcBorders>
            <w:shd w:val="clear" w:color="auto" w:fill="auto"/>
            <w:noWrap/>
            <w:vAlign w:val="bottom"/>
            <w:hideMark/>
          </w:tcPr>
          <w:p w14:paraId="00D95095" w14:textId="77777777" w:rsidR="004E0914" w:rsidRPr="004E0914" w:rsidRDefault="004E0914" w:rsidP="004E0914">
            <w:pPr>
              <w:spacing w:after="0" w:line="240" w:lineRule="auto"/>
              <w:jc w:val="right"/>
              <w:rPr>
                <w:rFonts w:eastAsia="Times New Roman"/>
                <w:b/>
                <w:bCs/>
                <w:color w:val="000000"/>
                <w:sz w:val="22"/>
              </w:rPr>
            </w:pPr>
            <w:r w:rsidRPr="004E0914">
              <w:rPr>
                <w:rFonts w:eastAsia="Times New Roman"/>
                <w:b/>
                <w:bCs/>
                <w:color w:val="000000"/>
                <w:sz w:val="22"/>
              </w:rPr>
              <w:t>InTASC 8</w:t>
            </w:r>
          </w:p>
        </w:tc>
        <w:tc>
          <w:tcPr>
            <w:tcW w:w="1265" w:type="dxa"/>
            <w:tcBorders>
              <w:top w:val="nil"/>
              <w:left w:val="nil"/>
              <w:bottom w:val="nil"/>
              <w:right w:val="nil"/>
            </w:tcBorders>
            <w:shd w:val="clear" w:color="auto" w:fill="auto"/>
            <w:noWrap/>
            <w:vAlign w:val="bottom"/>
            <w:hideMark/>
          </w:tcPr>
          <w:p w14:paraId="2BF50F84"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16%</w:t>
            </w:r>
          </w:p>
        </w:tc>
        <w:tc>
          <w:tcPr>
            <w:tcW w:w="1145" w:type="dxa"/>
            <w:tcBorders>
              <w:top w:val="nil"/>
              <w:left w:val="nil"/>
              <w:bottom w:val="nil"/>
              <w:right w:val="nil"/>
            </w:tcBorders>
            <w:shd w:val="clear" w:color="auto" w:fill="auto"/>
            <w:noWrap/>
            <w:vAlign w:val="bottom"/>
            <w:hideMark/>
          </w:tcPr>
          <w:p w14:paraId="7360F4F2"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75%</w:t>
            </w:r>
          </w:p>
        </w:tc>
        <w:tc>
          <w:tcPr>
            <w:tcW w:w="1281" w:type="dxa"/>
            <w:tcBorders>
              <w:top w:val="nil"/>
              <w:left w:val="nil"/>
              <w:bottom w:val="nil"/>
              <w:right w:val="nil"/>
            </w:tcBorders>
            <w:shd w:val="clear" w:color="auto" w:fill="auto"/>
            <w:noWrap/>
            <w:vAlign w:val="bottom"/>
            <w:hideMark/>
          </w:tcPr>
          <w:p w14:paraId="69A1E3E1"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9%</w:t>
            </w:r>
          </w:p>
        </w:tc>
        <w:tc>
          <w:tcPr>
            <w:tcW w:w="3733" w:type="dxa"/>
            <w:tcBorders>
              <w:top w:val="nil"/>
              <w:left w:val="nil"/>
              <w:bottom w:val="nil"/>
              <w:right w:val="nil"/>
            </w:tcBorders>
            <w:shd w:val="clear" w:color="auto" w:fill="auto"/>
            <w:noWrap/>
            <w:vAlign w:val="bottom"/>
            <w:hideMark/>
          </w:tcPr>
          <w:p w14:paraId="02B02FFE"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Instructional Strategies</w:t>
            </w:r>
          </w:p>
        </w:tc>
      </w:tr>
      <w:tr w:rsidR="004E0914" w:rsidRPr="004E0914" w14:paraId="6EF36F6F" w14:textId="77777777" w:rsidTr="009834C1">
        <w:trPr>
          <w:trHeight w:val="300"/>
        </w:trPr>
        <w:tc>
          <w:tcPr>
            <w:tcW w:w="730" w:type="dxa"/>
            <w:tcBorders>
              <w:top w:val="nil"/>
              <w:left w:val="nil"/>
              <w:bottom w:val="nil"/>
              <w:right w:val="nil"/>
            </w:tcBorders>
            <w:shd w:val="clear" w:color="auto" w:fill="auto"/>
            <w:noWrap/>
            <w:vAlign w:val="bottom"/>
            <w:hideMark/>
          </w:tcPr>
          <w:p w14:paraId="477A1F91"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3</w:t>
            </w:r>
          </w:p>
        </w:tc>
        <w:tc>
          <w:tcPr>
            <w:tcW w:w="1302" w:type="dxa"/>
            <w:tcBorders>
              <w:top w:val="nil"/>
              <w:left w:val="nil"/>
              <w:bottom w:val="nil"/>
              <w:right w:val="nil"/>
            </w:tcBorders>
            <w:shd w:val="clear" w:color="auto" w:fill="auto"/>
            <w:noWrap/>
            <w:vAlign w:val="bottom"/>
            <w:hideMark/>
          </w:tcPr>
          <w:p w14:paraId="3319E826" w14:textId="77777777" w:rsidR="004E0914" w:rsidRPr="004E0914" w:rsidRDefault="004E0914" w:rsidP="004E0914">
            <w:pPr>
              <w:spacing w:after="0" w:line="240" w:lineRule="auto"/>
              <w:jc w:val="right"/>
              <w:rPr>
                <w:rFonts w:eastAsia="Times New Roman"/>
                <w:b/>
                <w:bCs/>
                <w:color w:val="000000"/>
                <w:sz w:val="22"/>
              </w:rPr>
            </w:pPr>
            <w:r w:rsidRPr="004E0914">
              <w:rPr>
                <w:rFonts w:eastAsia="Times New Roman"/>
                <w:b/>
                <w:bCs/>
                <w:color w:val="000000"/>
                <w:sz w:val="22"/>
              </w:rPr>
              <w:t>InTASC 6</w:t>
            </w:r>
          </w:p>
        </w:tc>
        <w:tc>
          <w:tcPr>
            <w:tcW w:w="1265" w:type="dxa"/>
            <w:tcBorders>
              <w:top w:val="nil"/>
              <w:left w:val="nil"/>
              <w:bottom w:val="nil"/>
              <w:right w:val="nil"/>
            </w:tcBorders>
            <w:shd w:val="clear" w:color="auto" w:fill="auto"/>
            <w:noWrap/>
            <w:vAlign w:val="bottom"/>
            <w:hideMark/>
          </w:tcPr>
          <w:p w14:paraId="03EBD7EB"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15%</w:t>
            </w:r>
          </w:p>
        </w:tc>
        <w:tc>
          <w:tcPr>
            <w:tcW w:w="1145" w:type="dxa"/>
            <w:tcBorders>
              <w:top w:val="nil"/>
              <w:left w:val="nil"/>
              <w:bottom w:val="nil"/>
              <w:right w:val="nil"/>
            </w:tcBorders>
            <w:shd w:val="clear" w:color="auto" w:fill="auto"/>
            <w:noWrap/>
            <w:vAlign w:val="bottom"/>
            <w:hideMark/>
          </w:tcPr>
          <w:p w14:paraId="09C70B3F"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77%</w:t>
            </w:r>
          </w:p>
        </w:tc>
        <w:tc>
          <w:tcPr>
            <w:tcW w:w="1281" w:type="dxa"/>
            <w:tcBorders>
              <w:top w:val="nil"/>
              <w:left w:val="nil"/>
              <w:bottom w:val="nil"/>
              <w:right w:val="nil"/>
            </w:tcBorders>
            <w:shd w:val="clear" w:color="auto" w:fill="auto"/>
            <w:noWrap/>
            <w:vAlign w:val="bottom"/>
            <w:hideMark/>
          </w:tcPr>
          <w:p w14:paraId="34071E32"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w:t>
            </w:r>
          </w:p>
        </w:tc>
        <w:tc>
          <w:tcPr>
            <w:tcW w:w="3733" w:type="dxa"/>
            <w:tcBorders>
              <w:top w:val="nil"/>
              <w:left w:val="nil"/>
              <w:bottom w:val="nil"/>
              <w:right w:val="nil"/>
            </w:tcBorders>
            <w:shd w:val="clear" w:color="auto" w:fill="auto"/>
            <w:noWrap/>
            <w:vAlign w:val="bottom"/>
            <w:hideMark/>
          </w:tcPr>
          <w:p w14:paraId="101E2162"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Assessment</w:t>
            </w:r>
          </w:p>
        </w:tc>
      </w:tr>
      <w:tr w:rsidR="004E0914" w:rsidRPr="004E0914" w14:paraId="6EF1F39F" w14:textId="77777777" w:rsidTr="009834C1">
        <w:trPr>
          <w:trHeight w:val="300"/>
        </w:trPr>
        <w:tc>
          <w:tcPr>
            <w:tcW w:w="730" w:type="dxa"/>
            <w:tcBorders>
              <w:top w:val="nil"/>
              <w:left w:val="nil"/>
              <w:bottom w:val="nil"/>
              <w:right w:val="nil"/>
            </w:tcBorders>
            <w:shd w:val="clear" w:color="auto" w:fill="auto"/>
            <w:noWrap/>
            <w:vAlign w:val="bottom"/>
            <w:hideMark/>
          </w:tcPr>
          <w:p w14:paraId="0C06F66E"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3</w:t>
            </w:r>
          </w:p>
        </w:tc>
        <w:tc>
          <w:tcPr>
            <w:tcW w:w="1302" w:type="dxa"/>
            <w:tcBorders>
              <w:top w:val="nil"/>
              <w:left w:val="nil"/>
              <w:bottom w:val="nil"/>
              <w:right w:val="nil"/>
            </w:tcBorders>
            <w:shd w:val="clear" w:color="auto" w:fill="auto"/>
            <w:noWrap/>
            <w:vAlign w:val="bottom"/>
            <w:hideMark/>
          </w:tcPr>
          <w:p w14:paraId="02288C3E" w14:textId="77777777" w:rsidR="004E0914" w:rsidRPr="004E0914" w:rsidRDefault="004E0914" w:rsidP="004E0914">
            <w:pPr>
              <w:spacing w:after="0" w:line="240" w:lineRule="auto"/>
              <w:jc w:val="right"/>
              <w:rPr>
                <w:rFonts w:eastAsia="Times New Roman"/>
                <w:b/>
                <w:bCs/>
                <w:color w:val="000000"/>
                <w:sz w:val="22"/>
              </w:rPr>
            </w:pPr>
            <w:r w:rsidRPr="004E0914">
              <w:rPr>
                <w:rFonts w:eastAsia="Times New Roman"/>
                <w:b/>
                <w:bCs/>
                <w:color w:val="000000"/>
                <w:sz w:val="22"/>
              </w:rPr>
              <w:t>InTASC 5</w:t>
            </w:r>
          </w:p>
        </w:tc>
        <w:tc>
          <w:tcPr>
            <w:tcW w:w="1265" w:type="dxa"/>
            <w:tcBorders>
              <w:top w:val="nil"/>
              <w:left w:val="nil"/>
              <w:bottom w:val="nil"/>
              <w:right w:val="nil"/>
            </w:tcBorders>
            <w:shd w:val="clear" w:color="auto" w:fill="auto"/>
            <w:noWrap/>
            <w:vAlign w:val="bottom"/>
            <w:hideMark/>
          </w:tcPr>
          <w:p w14:paraId="6898D56D"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14%</w:t>
            </w:r>
          </w:p>
        </w:tc>
        <w:tc>
          <w:tcPr>
            <w:tcW w:w="1145" w:type="dxa"/>
            <w:tcBorders>
              <w:top w:val="nil"/>
              <w:left w:val="nil"/>
              <w:bottom w:val="nil"/>
              <w:right w:val="nil"/>
            </w:tcBorders>
            <w:shd w:val="clear" w:color="auto" w:fill="auto"/>
            <w:noWrap/>
            <w:vAlign w:val="bottom"/>
            <w:hideMark/>
          </w:tcPr>
          <w:p w14:paraId="4A40AB90"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77%</w:t>
            </w:r>
          </w:p>
        </w:tc>
        <w:tc>
          <w:tcPr>
            <w:tcW w:w="1281" w:type="dxa"/>
            <w:tcBorders>
              <w:top w:val="nil"/>
              <w:left w:val="nil"/>
              <w:bottom w:val="nil"/>
              <w:right w:val="nil"/>
            </w:tcBorders>
            <w:shd w:val="clear" w:color="auto" w:fill="auto"/>
            <w:noWrap/>
            <w:vAlign w:val="bottom"/>
            <w:hideMark/>
          </w:tcPr>
          <w:p w14:paraId="2E02928C"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9%</w:t>
            </w:r>
          </w:p>
        </w:tc>
        <w:tc>
          <w:tcPr>
            <w:tcW w:w="3733" w:type="dxa"/>
            <w:tcBorders>
              <w:top w:val="nil"/>
              <w:left w:val="nil"/>
              <w:bottom w:val="nil"/>
              <w:right w:val="nil"/>
            </w:tcBorders>
            <w:shd w:val="clear" w:color="auto" w:fill="auto"/>
            <w:noWrap/>
            <w:vAlign w:val="bottom"/>
            <w:hideMark/>
          </w:tcPr>
          <w:p w14:paraId="33BCD988"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Application of Content</w:t>
            </w:r>
          </w:p>
        </w:tc>
      </w:tr>
      <w:tr w:rsidR="004E0914" w:rsidRPr="004E0914" w14:paraId="62838B5A" w14:textId="77777777" w:rsidTr="009834C1">
        <w:trPr>
          <w:trHeight w:val="300"/>
        </w:trPr>
        <w:tc>
          <w:tcPr>
            <w:tcW w:w="730" w:type="dxa"/>
            <w:tcBorders>
              <w:top w:val="nil"/>
              <w:left w:val="nil"/>
              <w:bottom w:val="nil"/>
              <w:right w:val="nil"/>
            </w:tcBorders>
            <w:shd w:val="clear" w:color="auto" w:fill="auto"/>
            <w:noWrap/>
            <w:vAlign w:val="bottom"/>
            <w:hideMark/>
          </w:tcPr>
          <w:p w14:paraId="531C03F6"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5</w:t>
            </w:r>
          </w:p>
        </w:tc>
        <w:tc>
          <w:tcPr>
            <w:tcW w:w="1302" w:type="dxa"/>
            <w:tcBorders>
              <w:top w:val="nil"/>
              <w:left w:val="nil"/>
              <w:bottom w:val="nil"/>
              <w:right w:val="nil"/>
            </w:tcBorders>
            <w:shd w:val="clear" w:color="auto" w:fill="auto"/>
            <w:noWrap/>
            <w:vAlign w:val="bottom"/>
            <w:hideMark/>
          </w:tcPr>
          <w:p w14:paraId="74D0CF1A" w14:textId="77777777" w:rsidR="004E0914" w:rsidRPr="004E0914" w:rsidRDefault="004E0914" w:rsidP="004E0914">
            <w:pPr>
              <w:spacing w:after="0" w:line="240" w:lineRule="auto"/>
              <w:jc w:val="right"/>
              <w:rPr>
                <w:rFonts w:eastAsia="Times New Roman"/>
                <w:b/>
                <w:bCs/>
                <w:color w:val="000000"/>
                <w:sz w:val="22"/>
              </w:rPr>
            </w:pPr>
            <w:r w:rsidRPr="004E0914">
              <w:rPr>
                <w:rFonts w:eastAsia="Times New Roman"/>
                <w:b/>
                <w:bCs/>
                <w:color w:val="000000"/>
                <w:sz w:val="22"/>
              </w:rPr>
              <w:t>InTASC 9</w:t>
            </w:r>
          </w:p>
        </w:tc>
        <w:tc>
          <w:tcPr>
            <w:tcW w:w="1265" w:type="dxa"/>
            <w:tcBorders>
              <w:top w:val="nil"/>
              <w:left w:val="nil"/>
              <w:bottom w:val="nil"/>
              <w:right w:val="nil"/>
            </w:tcBorders>
            <w:shd w:val="clear" w:color="auto" w:fill="auto"/>
            <w:noWrap/>
            <w:vAlign w:val="bottom"/>
            <w:hideMark/>
          </w:tcPr>
          <w:p w14:paraId="09A61761"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12%</w:t>
            </w:r>
          </w:p>
        </w:tc>
        <w:tc>
          <w:tcPr>
            <w:tcW w:w="1145" w:type="dxa"/>
            <w:tcBorders>
              <w:top w:val="nil"/>
              <w:left w:val="nil"/>
              <w:bottom w:val="nil"/>
              <w:right w:val="nil"/>
            </w:tcBorders>
            <w:shd w:val="clear" w:color="auto" w:fill="auto"/>
            <w:noWrap/>
            <w:vAlign w:val="bottom"/>
            <w:hideMark/>
          </w:tcPr>
          <w:p w14:paraId="43DB8C53"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78%</w:t>
            </w:r>
          </w:p>
        </w:tc>
        <w:tc>
          <w:tcPr>
            <w:tcW w:w="1281" w:type="dxa"/>
            <w:tcBorders>
              <w:top w:val="nil"/>
              <w:left w:val="nil"/>
              <w:bottom w:val="nil"/>
              <w:right w:val="nil"/>
            </w:tcBorders>
            <w:shd w:val="clear" w:color="auto" w:fill="auto"/>
            <w:noWrap/>
            <w:vAlign w:val="bottom"/>
            <w:hideMark/>
          </w:tcPr>
          <w:p w14:paraId="58A32CCF"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10%</w:t>
            </w:r>
          </w:p>
        </w:tc>
        <w:tc>
          <w:tcPr>
            <w:tcW w:w="3733" w:type="dxa"/>
            <w:tcBorders>
              <w:top w:val="nil"/>
              <w:left w:val="nil"/>
              <w:bottom w:val="nil"/>
              <w:right w:val="nil"/>
            </w:tcBorders>
            <w:shd w:val="clear" w:color="auto" w:fill="auto"/>
            <w:noWrap/>
            <w:vAlign w:val="bottom"/>
            <w:hideMark/>
          </w:tcPr>
          <w:p w14:paraId="06FAE72E"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Professional Learning and Ethics</w:t>
            </w:r>
          </w:p>
        </w:tc>
      </w:tr>
      <w:tr w:rsidR="004E0914" w:rsidRPr="004E0914" w14:paraId="4F240FB3" w14:textId="77777777" w:rsidTr="009834C1">
        <w:trPr>
          <w:trHeight w:val="300"/>
        </w:trPr>
        <w:tc>
          <w:tcPr>
            <w:tcW w:w="730" w:type="dxa"/>
            <w:tcBorders>
              <w:top w:val="nil"/>
              <w:left w:val="nil"/>
              <w:bottom w:val="nil"/>
              <w:right w:val="nil"/>
            </w:tcBorders>
            <w:shd w:val="clear" w:color="auto" w:fill="auto"/>
            <w:noWrap/>
            <w:vAlign w:val="bottom"/>
            <w:hideMark/>
          </w:tcPr>
          <w:p w14:paraId="6B85EC03"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6</w:t>
            </w:r>
          </w:p>
        </w:tc>
        <w:tc>
          <w:tcPr>
            <w:tcW w:w="1302" w:type="dxa"/>
            <w:tcBorders>
              <w:top w:val="nil"/>
              <w:left w:val="nil"/>
              <w:bottom w:val="nil"/>
              <w:right w:val="nil"/>
            </w:tcBorders>
            <w:shd w:val="clear" w:color="auto" w:fill="auto"/>
            <w:noWrap/>
            <w:vAlign w:val="bottom"/>
            <w:hideMark/>
          </w:tcPr>
          <w:p w14:paraId="0BBC13A6" w14:textId="77777777" w:rsidR="004E0914" w:rsidRPr="004E0914" w:rsidRDefault="004E0914" w:rsidP="004E0914">
            <w:pPr>
              <w:spacing w:after="0" w:line="240" w:lineRule="auto"/>
              <w:jc w:val="right"/>
              <w:rPr>
                <w:rFonts w:eastAsia="Times New Roman"/>
                <w:b/>
                <w:bCs/>
                <w:color w:val="000000"/>
                <w:sz w:val="22"/>
              </w:rPr>
            </w:pPr>
            <w:r w:rsidRPr="004E0914">
              <w:rPr>
                <w:rFonts w:eastAsia="Times New Roman"/>
                <w:b/>
                <w:bCs/>
                <w:color w:val="000000"/>
                <w:sz w:val="22"/>
              </w:rPr>
              <w:t>InTASC 2</w:t>
            </w:r>
          </w:p>
        </w:tc>
        <w:tc>
          <w:tcPr>
            <w:tcW w:w="1265" w:type="dxa"/>
            <w:tcBorders>
              <w:top w:val="nil"/>
              <w:left w:val="nil"/>
              <w:bottom w:val="nil"/>
              <w:right w:val="nil"/>
            </w:tcBorders>
            <w:shd w:val="clear" w:color="auto" w:fill="auto"/>
            <w:noWrap/>
            <w:vAlign w:val="bottom"/>
            <w:hideMark/>
          </w:tcPr>
          <w:p w14:paraId="494A71CA"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11%</w:t>
            </w:r>
          </w:p>
        </w:tc>
        <w:tc>
          <w:tcPr>
            <w:tcW w:w="1145" w:type="dxa"/>
            <w:tcBorders>
              <w:top w:val="nil"/>
              <w:left w:val="nil"/>
              <w:bottom w:val="nil"/>
              <w:right w:val="nil"/>
            </w:tcBorders>
            <w:shd w:val="clear" w:color="auto" w:fill="auto"/>
            <w:noWrap/>
            <w:vAlign w:val="bottom"/>
            <w:hideMark/>
          </w:tcPr>
          <w:p w14:paraId="47FC2BD9"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84%</w:t>
            </w:r>
          </w:p>
        </w:tc>
        <w:tc>
          <w:tcPr>
            <w:tcW w:w="1281" w:type="dxa"/>
            <w:tcBorders>
              <w:top w:val="nil"/>
              <w:left w:val="nil"/>
              <w:bottom w:val="nil"/>
              <w:right w:val="nil"/>
            </w:tcBorders>
            <w:shd w:val="clear" w:color="auto" w:fill="auto"/>
            <w:noWrap/>
            <w:vAlign w:val="bottom"/>
            <w:hideMark/>
          </w:tcPr>
          <w:p w14:paraId="302AF907"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5%</w:t>
            </w:r>
          </w:p>
        </w:tc>
        <w:tc>
          <w:tcPr>
            <w:tcW w:w="3733" w:type="dxa"/>
            <w:tcBorders>
              <w:top w:val="nil"/>
              <w:left w:val="nil"/>
              <w:bottom w:val="nil"/>
              <w:right w:val="nil"/>
            </w:tcBorders>
            <w:shd w:val="clear" w:color="auto" w:fill="auto"/>
            <w:noWrap/>
            <w:vAlign w:val="bottom"/>
            <w:hideMark/>
          </w:tcPr>
          <w:p w14:paraId="7BA0492C"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Learning Differences</w:t>
            </w:r>
          </w:p>
        </w:tc>
      </w:tr>
      <w:tr w:rsidR="004E0914" w:rsidRPr="004E0914" w14:paraId="78F78C56" w14:textId="77777777" w:rsidTr="009834C1">
        <w:trPr>
          <w:trHeight w:val="300"/>
        </w:trPr>
        <w:tc>
          <w:tcPr>
            <w:tcW w:w="730" w:type="dxa"/>
            <w:tcBorders>
              <w:top w:val="nil"/>
              <w:left w:val="nil"/>
              <w:bottom w:val="nil"/>
              <w:right w:val="nil"/>
            </w:tcBorders>
            <w:shd w:val="clear" w:color="auto" w:fill="auto"/>
            <w:noWrap/>
            <w:vAlign w:val="bottom"/>
            <w:hideMark/>
          </w:tcPr>
          <w:p w14:paraId="357B2377"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6</w:t>
            </w:r>
          </w:p>
        </w:tc>
        <w:tc>
          <w:tcPr>
            <w:tcW w:w="1302" w:type="dxa"/>
            <w:tcBorders>
              <w:top w:val="nil"/>
              <w:left w:val="nil"/>
              <w:bottom w:val="nil"/>
              <w:right w:val="nil"/>
            </w:tcBorders>
            <w:shd w:val="clear" w:color="auto" w:fill="auto"/>
            <w:noWrap/>
            <w:vAlign w:val="bottom"/>
            <w:hideMark/>
          </w:tcPr>
          <w:p w14:paraId="500C531D" w14:textId="77777777" w:rsidR="004E0914" w:rsidRPr="004E0914" w:rsidRDefault="004E0914" w:rsidP="004E0914">
            <w:pPr>
              <w:spacing w:after="0" w:line="240" w:lineRule="auto"/>
              <w:jc w:val="right"/>
              <w:rPr>
                <w:rFonts w:eastAsia="Times New Roman"/>
                <w:b/>
                <w:bCs/>
                <w:color w:val="000000"/>
                <w:sz w:val="22"/>
              </w:rPr>
            </w:pPr>
            <w:r w:rsidRPr="004E0914">
              <w:rPr>
                <w:rFonts w:eastAsia="Times New Roman"/>
                <w:b/>
                <w:bCs/>
                <w:color w:val="000000"/>
                <w:sz w:val="22"/>
              </w:rPr>
              <w:t>InTASC 4</w:t>
            </w:r>
          </w:p>
        </w:tc>
        <w:tc>
          <w:tcPr>
            <w:tcW w:w="1265" w:type="dxa"/>
            <w:tcBorders>
              <w:top w:val="nil"/>
              <w:left w:val="nil"/>
              <w:bottom w:val="nil"/>
              <w:right w:val="nil"/>
            </w:tcBorders>
            <w:shd w:val="clear" w:color="auto" w:fill="auto"/>
            <w:noWrap/>
            <w:vAlign w:val="bottom"/>
            <w:hideMark/>
          </w:tcPr>
          <w:p w14:paraId="03DD52EF"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11%</w:t>
            </w:r>
          </w:p>
        </w:tc>
        <w:tc>
          <w:tcPr>
            <w:tcW w:w="1145" w:type="dxa"/>
            <w:tcBorders>
              <w:top w:val="nil"/>
              <w:left w:val="nil"/>
              <w:bottom w:val="nil"/>
              <w:right w:val="nil"/>
            </w:tcBorders>
            <w:shd w:val="clear" w:color="auto" w:fill="auto"/>
            <w:noWrap/>
            <w:vAlign w:val="bottom"/>
            <w:hideMark/>
          </w:tcPr>
          <w:p w14:paraId="5CC354AB"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82%</w:t>
            </w:r>
          </w:p>
        </w:tc>
        <w:tc>
          <w:tcPr>
            <w:tcW w:w="1281" w:type="dxa"/>
            <w:tcBorders>
              <w:top w:val="nil"/>
              <w:left w:val="nil"/>
              <w:bottom w:val="nil"/>
              <w:right w:val="nil"/>
            </w:tcBorders>
            <w:shd w:val="clear" w:color="auto" w:fill="auto"/>
            <w:noWrap/>
            <w:vAlign w:val="bottom"/>
            <w:hideMark/>
          </w:tcPr>
          <w:p w14:paraId="4C9406A7"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7%</w:t>
            </w:r>
          </w:p>
        </w:tc>
        <w:tc>
          <w:tcPr>
            <w:tcW w:w="3733" w:type="dxa"/>
            <w:tcBorders>
              <w:top w:val="nil"/>
              <w:left w:val="nil"/>
              <w:bottom w:val="nil"/>
              <w:right w:val="nil"/>
            </w:tcBorders>
            <w:shd w:val="clear" w:color="auto" w:fill="auto"/>
            <w:noWrap/>
            <w:vAlign w:val="bottom"/>
            <w:hideMark/>
          </w:tcPr>
          <w:p w14:paraId="65D00909"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Content Knowledge</w:t>
            </w:r>
          </w:p>
        </w:tc>
      </w:tr>
      <w:tr w:rsidR="004E0914" w:rsidRPr="004E0914" w14:paraId="5F6EAD58" w14:textId="77777777" w:rsidTr="009834C1">
        <w:trPr>
          <w:trHeight w:val="300"/>
        </w:trPr>
        <w:tc>
          <w:tcPr>
            <w:tcW w:w="730" w:type="dxa"/>
            <w:tcBorders>
              <w:top w:val="nil"/>
              <w:left w:val="nil"/>
              <w:bottom w:val="nil"/>
              <w:right w:val="nil"/>
            </w:tcBorders>
            <w:shd w:val="clear" w:color="auto" w:fill="auto"/>
            <w:noWrap/>
            <w:vAlign w:val="bottom"/>
            <w:hideMark/>
          </w:tcPr>
          <w:p w14:paraId="4BCFB8ED"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w:t>
            </w:r>
          </w:p>
        </w:tc>
        <w:tc>
          <w:tcPr>
            <w:tcW w:w="1302" w:type="dxa"/>
            <w:tcBorders>
              <w:top w:val="nil"/>
              <w:left w:val="nil"/>
              <w:bottom w:val="nil"/>
              <w:right w:val="nil"/>
            </w:tcBorders>
            <w:shd w:val="clear" w:color="auto" w:fill="auto"/>
            <w:noWrap/>
            <w:vAlign w:val="bottom"/>
            <w:hideMark/>
          </w:tcPr>
          <w:p w14:paraId="7AF63555" w14:textId="77777777" w:rsidR="004E0914" w:rsidRPr="004E0914" w:rsidRDefault="004E0914" w:rsidP="004E0914">
            <w:pPr>
              <w:spacing w:after="0" w:line="240" w:lineRule="auto"/>
              <w:jc w:val="right"/>
              <w:rPr>
                <w:rFonts w:eastAsia="Times New Roman"/>
                <w:b/>
                <w:bCs/>
                <w:color w:val="000000"/>
                <w:sz w:val="22"/>
              </w:rPr>
            </w:pPr>
            <w:r w:rsidRPr="004E0914">
              <w:rPr>
                <w:rFonts w:eastAsia="Times New Roman"/>
                <w:b/>
                <w:bCs/>
                <w:color w:val="000000"/>
                <w:sz w:val="22"/>
              </w:rPr>
              <w:t>InTASC 7</w:t>
            </w:r>
          </w:p>
        </w:tc>
        <w:tc>
          <w:tcPr>
            <w:tcW w:w="1265" w:type="dxa"/>
            <w:tcBorders>
              <w:top w:val="nil"/>
              <w:left w:val="nil"/>
              <w:bottom w:val="nil"/>
              <w:right w:val="nil"/>
            </w:tcBorders>
            <w:shd w:val="clear" w:color="auto" w:fill="auto"/>
            <w:noWrap/>
            <w:vAlign w:val="bottom"/>
            <w:hideMark/>
          </w:tcPr>
          <w:p w14:paraId="52690AE5"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10%</w:t>
            </w:r>
          </w:p>
        </w:tc>
        <w:tc>
          <w:tcPr>
            <w:tcW w:w="1145" w:type="dxa"/>
            <w:tcBorders>
              <w:top w:val="nil"/>
              <w:left w:val="nil"/>
              <w:bottom w:val="nil"/>
              <w:right w:val="nil"/>
            </w:tcBorders>
            <w:shd w:val="clear" w:color="auto" w:fill="auto"/>
            <w:noWrap/>
            <w:vAlign w:val="bottom"/>
            <w:hideMark/>
          </w:tcPr>
          <w:p w14:paraId="22D3C757"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82%</w:t>
            </w:r>
          </w:p>
        </w:tc>
        <w:tc>
          <w:tcPr>
            <w:tcW w:w="1281" w:type="dxa"/>
            <w:tcBorders>
              <w:top w:val="nil"/>
              <w:left w:val="nil"/>
              <w:bottom w:val="nil"/>
              <w:right w:val="nil"/>
            </w:tcBorders>
            <w:shd w:val="clear" w:color="auto" w:fill="auto"/>
            <w:noWrap/>
            <w:vAlign w:val="bottom"/>
            <w:hideMark/>
          </w:tcPr>
          <w:p w14:paraId="31930768"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w:t>
            </w:r>
          </w:p>
        </w:tc>
        <w:tc>
          <w:tcPr>
            <w:tcW w:w="3733" w:type="dxa"/>
            <w:tcBorders>
              <w:top w:val="nil"/>
              <w:left w:val="nil"/>
              <w:bottom w:val="nil"/>
              <w:right w:val="nil"/>
            </w:tcBorders>
            <w:shd w:val="clear" w:color="auto" w:fill="auto"/>
            <w:noWrap/>
            <w:vAlign w:val="bottom"/>
            <w:hideMark/>
          </w:tcPr>
          <w:p w14:paraId="70900076"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Planning for Instruction</w:t>
            </w:r>
          </w:p>
        </w:tc>
      </w:tr>
      <w:tr w:rsidR="004E0914" w:rsidRPr="004E0914" w14:paraId="02A28EA8" w14:textId="77777777" w:rsidTr="009834C1">
        <w:trPr>
          <w:trHeight w:val="300"/>
        </w:trPr>
        <w:tc>
          <w:tcPr>
            <w:tcW w:w="730" w:type="dxa"/>
            <w:tcBorders>
              <w:top w:val="nil"/>
              <w:left w:val="nil"/>
              <w:bottom w:val="nil"/>
              <w:right w:val="nil"/>
            </w:tcBorders>
            <w:shd w:val="clear" w:color="auto" w:fill="auto"/>
            <w:noWrap/>
            <w:vAlign w:val="bottom"/>
            <w:hideMark/>
          </w:tcPr>
          <w:p w14:paraId="33FCFA30"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w:t>
            </w:r>
          </w:p>
        </w:tc>
        <w:tc>
          <w:tcPr>
            <w:tcW w:w="1302" w:type="dxa"/>
            <w:tcBorders>
              <w:top w:val="nil"/>
              <w:left w:val="nil"/>
              <w:bottom w:val="nil"/>
              <w:right w:val="nil"/>
            </w:tcBorders>
            <w:shd w:val="clear" w:color="auto" w:fill="auto"/>
            <w:noWrap/>
            <w:vAlign w:val="bottom"/>
            <w:hideMark/>
          </w:tcPr>
          <w:p w14:paraId="0B16C886" w14:textId="77777777" w:rsidR="004E0914" w:rsidRPr="004E0914" w:rsidRDefault="004E0914" w:rsidP="004E0914">
            <w:pPr>
              <w:spacing w:after="0" w:line="240" w:lineRule="auto"/>
              <w:jc w:val="right"/>
              <w:rPr>
                <w:rFonts w:eastAsia="Times New Roman"/>
                <w:b/>
                <w:bCs/>
                <w:color w:val="000000"/>
                <w:sz w:val="22"/>
              </w:rPr>
            </w:pPr>
            <w:r w:rsidRPr="004E0914">
              <w:rPr>
                <w:rFonts w:eastAsia="Times New Roman"/>
                <w:b/>
                <w:bCs/>
                <w:color w:val="000000"/>
                <w:sz w:val="22"/>
              </w:rPr>
              <w:t>InTASC 10</w:t>
            </w:r>
          </w:p>
        </w:tc>
        <w:tc>
          <w:tcPr>
            <w:tcW w:w="1265" w:type="dxa"/>
            <w:tcBorders>
              <w:top w:val="nil"/>
              <w:left w:val="nil"/>
              <w:bottom w:val="nil"/>
              <w:right w:val="nil"/>
            </w:tcBorders>
            <w:shd w:val="clear" w:color="auto" w:fill="auto"/>
            <w:noWrap/>
            <w:vAlign w:val="bottom"/>
            <w:hideMark/>
          </w:tcPr>
          <w:p w14:paraId="0417824B"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10%</w:t>
            </w:r>
          </w:p>
        </w:tc>
        <w:tc>
          <w:tcPr>
            <w:tcW w:w="1145" w:type="dxa"/>
            <w:tcBorders>
              <w:top w:val="nil"/>
              <w:left w:val="nil"/>
              <w:bottom w:val="nil"/>
              <w:right w:val="nil"/>
            </w:tcBorders>
            <w:shd w:val="clear" w:color="auto" w:fill="auto"/>
            <w:noWrap/>
            <w:vAlign w:val="bottom"/>
            <w:hideMark/>
          </w:tcPr>
          <w:p w14:paraId="14EE20E9"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75%</w:t>
            </w:r>
          </w:p>
        </w:tc>
        <w:tc>
          <w:tcPr>
            <w:tcW w:w="1281" w:type="dxa"/>
            <w:tcBorders>
              <w:top w:val="nil"/>
              <w:left w:val="nil"/>
              <w:bottom w:val="nil"/>
              <w:right w:val="nil"/>
            </w:tcBorders>
            <w:shd w:val="clear" w:color="auto" w:fill="auto"/>
            <w:noWrap/>
            <w:vAlign w:val="bottom"/>
            <w:hideMark/>
          </w:tcPr>
          <w:p w14:paraId="0E713DD3"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15%</w:t>
            </w:r>
          </w:p>
        </w:tc>
        <w:tc>
          <w:tcPr>
            <w:tcW w:w="3733" w:type="dxa"/>
            <w:tcBorders>
              <w:top w:val="nil"/>
              <w:left w:val="nil"/>
              <w:bottom w:val="nil"/>
              <w:right w:val="nil"/>
            </w:tcBorders>
            <w:shd w:val="clear" w:color="auto" w:fill="auto"/>
            <w:noWrap/>
            <w:vAlign w:val="bottom"/>
            <w:hideMark/>
          </w:tcPr>
          <w:p w14:paraId="295D7D74"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Leadership and Collaboration</w:t>
            </w:r>
          </w:p>
        </w:tc>
      </w:tr>
      <w:tr w:rsidR="004E0914" w:rsidRPr="004E0914" w14:paraId="05542632" w14:textId="77777777" w:rsidTr="009834C1">
        <w:trPr>
          <w:trHeight w:val="300"/>
        </w:trPr>
        <w:tc>
          <w:tcPr>
            <w:tcW w:w="730" w:type="dxa"/>
            <w:tcBorders>
              <w:top w:val="nil"/>
              <w:left w:val="nil"/>
              <w:bottom w:val="single" w:sz="4" w:space="0" w:color="auto"/>
              <w:right w:val="nil"/>
            </w:tcBorders>
            <w:shd w:val="clear" w:color="auto" w:fill="auto"/>
            <w:noWrap/>
            <w:vAlign w:val="bottom"/>
            <w:hideMark/>
          </w:tcPr>
          <w:p w14:paraId="31476965"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10</w:t>
            </w:r>
          </w:p>
        </w:tc>
        <w:tc>
          <w:tcPr>
            <w:tcW w:w="1302" w:type="dxa"/>
            <w:tcBorders>
              <w:top w:val="nil"/>
              <w:left w:val="nil"/>
              <w:bottom w:val="single" w:sz="4" w:space="0" w:color="auto"/>
              <w:right w:val="nil"/>
            </w:tcBorders>
            <w:shd w:val="clear" w:color="auto" w:fill="auto"/>
            <w:noWrap/>
            <w:vAlign w:val="bottom"/>
            <w:hideMark/>
          </w:tcPr>
          <w:p w14:paraId="1BA32189" w14:textId="77777777" w:rsidR="004E0914" w:rsidRPr="004E0914" w:rsidRDefault="004E0914" w:rsidP="004E0914">
            <w:pPr>
              <w:spacing w:after="0" w:line="240" w:lineRule="auto"/>
              <w:jc w:val="right"/>
              <w:rPr>
                <w:rFonts w:eastAsia="Times New Roman"/>
                <w:b/>
                <w:bCs/>
                <w:color w:val="000000"/>
                <w:sz w:val="22"/>
              </w:rPr>
            </w:pPr>
            <w:r w:rsidRPr="004E0914">
              <w:rPr>
                <w:rFonts w:eastAsia="Times New Roman"/>
                <w:b/>
                <w:bCs/>
                <w:color w:val="000000"/>
                <w:sz w:val="22"/>
              </w:rPr>
              <w:t>InTASC 1</w:t>
            </w:r>
          </w:p>
        </w:tc>
        <w:tc>
          <w:tcPr>
            <w:tcW w:w="1265" w:type="dxa"/>
            <w:tcBorders>
              <w:top w:val="nil"/>
              <w:left w:val="nil"/>
              <w:bottom w:val="single" w:sz="4" w:space="0" w:color="auto"/>
              <w:right w:val="nil"/>
            </w:tcBorders>
            <w:shd w:val="clear" w:color="auto" w:fill="auto"/>
            <w:noWrap/>
            <w:vAlign w:val="bottom"/>
            <w:hideMark/>
          </w:tcPr>
          <w:p w14:paraId="5C4A4714" w14:textId="77777777" w:rsidR="004E0914" w:rsidRPr="004E0914" w:rsidRDefault="004E0914" w:rsidP="004E0914">
            <w:pPr>
              <w:spacing w:after="0" w:line="240" w:lineRule="auto"/>
              <w:jc w:val="center"/>
              <w:rPr>
                <w:rFonts w:eastAsia="Times New Roman"/>
                <w:b/>
                <w:bCs/>
                <w:color w:val="000000"/>
                <w:sz w:val="22"/>
              </w:rPr>
            </w:pPr>
            <w:r w:rsidRPr="004E0914">
              <w:rPr>
                <w:rFonts w:eastAsia="Times New Roman"/>
                <w:b/>
                <w:bCs/>
                <w:color w:val="000000"/>
                <w:sz w:val="22"/>
              </w:rPr>
              <w:t>9%</w:t>
            </w:r>
          </w:p>
        </w:tc>
        <w:tc>
          <w:tcPr>
            <w:tcW w:w="1145" w:type="dxa"/>
            <w:tcBorders>
              <w:top w:val="nil"/>
              <w:left w:val="nil"/>
              <w:bottom w:val="single" w:sz="4" w:space="0" w:color="auto"/>
              <w:right w:val="nil"/>
            </w:tcBorders>
            <w:shd w:val="clear" w:color="auto" w:fill="auto"/>
            <w:noWrap/>
            <w:vAlign w:val="bottom"/>
            <w:hideMark/>
          </w:tcPr>
          <w:p w14:paraId="2895C0F4"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83%</w:t>
            </w:r>
          </w:p>
        </w:tc>
        <w:tc>
          <w:tcPr>
            <w:tcW w:w="1281" w:type="dxa"/>
            <w:tcBorders>
              <w:top w:val="nil"/>
              <w:left w:val="nil"/>
              <w:bottom w:val="single" w:sz="4" w:space="0" w:color="auto"/>
              <w:right w:val="nil"/>
            </w:tcBorders>
            <w:shd w:val="clear" w:color="auto" w:fill="auto"/>
            <w:noWrap/>
            <w:vAlign w:val="bottom"/>
            <w:hideMark/>
          </w:tcPr>
          <w:p w14:paraId="14181FB1"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w:t>
            </w:r>
          </w:p>
        </w:tc>
        <w:tc>
          <w:tcPr>
            <w:tcW w:w="3733" w:type="dxa"/>
            <w:tcBorders>
              <w:top w:val="nil"/>
              <w:left w:val="nil"/>
              <w:bottom w:val="single" w:sz="4" w:space="0" w:color="auto"/>
              <w:right w:val="nil"/>
            </w:tcBorders>
            <w:shd w:val="clear" w:color="auto" w:fill="auto"/>
            <w:noWrap/>
            <w:vAlign w:val="bottom"/>
            <w:hideMark/>
          </w:tcPr>
          <w:p w14:paraId="7C8494FA"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Learner Development</w:t>
            </w:r>
          </w:p>
        </w:tc>
      </w:tr>
      <w:tr w:rsidR="004E0914" w:rsidRPr="004E0914" w14:paraId="391ED66E" w14:textId="77777777" w:rsidTr="009834C1">
        <w:trPr>
          <w:trHeight w:val="300"/>
        </w:trPr>
        <w:tc>
          <w:tcPr>
            <w:tcW w:w="730" w:type="dxa"/>
            <w:tcBorders>
              <w:top w:val="nil"/>
              <w:left w:val="nil"/>
              <w:bottom w:val="nil"/>
              <w:right w:val="nil"/>
            </w:tcBorders>
            <w:shd w:val="clear" w:color="auto" w:fill="auto"/>
            <w:noWrap/>
            <w:vAlign w:val="bottom"/>
            <w:hideMark/>
          </w:tcPr>
          <w:p w14:paraId="084A0AE2" w14:textId="77777777" w:rsidR="004E0914" w:rsidRPr="004E0914" w:rsidRDefault="004E0914" w:rsidP="004E0914">
            <w:pPr>
              <w:spacing w:after="0" w:line="240" w:lineRule="auto"/>
              <w:jc w:val="center"/>
              <w:rPr>
                <w:rFonts w:eastAsia="Times New Roman"/>
                <w:color w:val="000000"/>
                <w:sz w:val="22"/>
              </w:rPr>
            </w:pPr>
          </w:p>
        </w:tc>
        <w:tc>
          <w:tcPr>
            <w:tcW w:w="1302" w:type="dxa"/>
            <w:tcBorders>
              <w:top w:val="nil"/>
              <w:left w:val="nil"/>
              <w:bottom w:val="nil"/>
              <w:right w:val="nil"/>
            </w:tcBorders>
            <w:shd w:val="clear" w:color="auto" w:fill="auto"/>
            <w:noWrap/>
            <w:vAlign w:val="bottom"/>
            <w:hideMark/>
          </w:tcPr>
          <w:p w14:paraId="1B9034DB" w14:textId="77777777" w:rsidR="004E0914" w:rsidRPr="004E0914" w:rsidRDefault="004E0914" w:rsidP="004E0914">
            <w:pPr>
              <w:spacing w:after="0" w:line="240" w:lineRule="auto"/>
              <w:rPr>
                <w:rFonts w:eastAsia="Times New Roman"/>
                <w:color w:val="000000"/>
                <w:sz w:val="22"/>
              </w:rPr>
            </w:pPr>
          </w:p>
        </w:tc>
        <w:tc>
          <w:tcPr>
            <w:tcW w:w="1265" w:type="dxa"/>
            <w:tcBorders>
              <w:top w:val="nil"/>
              <w:left w:val="nil"/>
              <w:bottom w:val="nil"/>
              <w:right w:val="nil"/>
            </w:tcBorders>
            <w:shd w:val="clear" w:color="auto" w:fill="auto"/>
            <w:noWrap/>
            <w:vAlign w:val="bottom"/>
            <w:hideMark/>
          </w:tcPr>
          <w:p w14:paraId="0648643E" w14:textId="77777777" w:rsidR="004E0914" w:rsidRPr="004E0914" w:rsidRDefault="004E0914" w:rsidP="004E0914">
            <w:pPr>
              <w:spacing w:after="0" w:line="240" w:lineRule="auto"/>
              <w:rPr>
                <w:rFonts w:eastAsia="Times New Roman"/>
                <w:color w:val="000000"/>
                <w:sz w:val="22"/>
              </w:rPr>
            </w:pPr>
          </w:p>
        </w:tc>
        <w:tc>
          <w:tcPr>
            <w:tcW w:w="1145" w:type="dxa"/>
            <w:tcBorders>
              <w:top w:val="nil"/>
              <w:left w:val="nil"/>
              <w:bottom w:val="nil"/>
              <w:right w:val="nil"/>
            </w:tcBorders>
            <w:shd w:val="clear" w:color="auto" w:fill="auto"/>
            <w:noWrap/>
            <w:vAlign w:val="bottom"/>
            <w:hideMark/>
          </w:tcPr>
          <w:p w14:paraId="223A5838" w14:textId="77777777" w:rsidR="004E0914" w:rsidRPr="004E0914" w:rsidRDefault="004E0914" w:rsidP="004E0914">
            <w:pPr>
              <w:spacing w:after="0" w:line="240" w:lineRule="auto"/>
              <w:rPr>
                <w:rFonts w:eastAsia="Times New Roman"/>
                <w:color w:val="000000"/>
                <w:sz w:val="22"/>
              </w:rPr>
            </w:pPr>
          </w:p>
        </w:tc>
        <w:tc>
          <w:tcPr>
            <w:tcW w:w="1281" w:type="dxa"/>
            <w:tcBorders>
              <w:top w:val="nil"/>
              <w:left w:val="nil"/>
              <w:bottom w:val="nil"/>
              <w:right w:val="nil"/>
            </w:tcBorders>
            <w:shd w:val="clear" w:color="auto" w:fill="auto"/>
            <w:noWrap/>
            <w:vAlign w:val="bottom"/>
            <w:hideMark/>
          </w:tcPr>
          <w:p w14:paraId="335730F0" w14:textId="77777777" w:rsidR="004E0914" w:rsidRPr="004E0914" w:rsidRDefault="004E0914" w:rsidP="004E0914">
            <w:pPr>
              <w:spacing w:after="0" w:line="240" w:lineRule="auto"/>
              <w:rPr>
                <w:rFonts w:eastAsia="Times New Roman"/>
                <w:color w:val="000000"/>
                <w:sz w:val="22"/>
              </w:rPr>
            </w:pPr>
          </w:p>
        </w:tc>
        <w:tc>
          <w:tcPr>
            <w:tcW w:w="3733" w:type="dxa"/>
            <w:tcBorders>
              <w:top w:val="nil"/>
              <w:left w:val="nil"/>
              <w:bottom w:val="nil"/>
              <w:right w:val="nil"/>
            </w:tcBorders>
            <w:shd w:val="clear" w:color="auto" w:fill="auto"/>
            <w:noWrap/>
            <w:vAlign w:val="bottom"/>
            <w:hideMark/>
          </w:tcPr>
          <w:p w14:paraId="32FD43CD" w14:textId="77777777" w:rsidR="004E0914" w:rsidRPr="004E0914" w:rsidRDefault="004E0914" w:rsidP="004E0914">
            <w:pPr>
              <w:spacing w:after="0" w:line="240" w:lineRule="auto"/>
              <w:rPr>
                <w:rFonts w:eastAsia="Times New Roman"/>
                <w:color w:val="000000"/>
                <w:sz w:val="22"/>
              </w:rPr>
            </w:pPr>
          </w:p>
        </w:tc>
      </w:tr>
      <w:tr w:rsidR="004E0914" w:rsidRPr="004E0914" w14:paraId="2EAE7F97" w14:textId="77777777" w:rsidTr="009834C1">
        <w:trPr>
          <w:trHeight w:val="300"/>
        </w:trPr>
        <w:tc>
          <w:tcPr>
            <w:tcW w:w="730" w:type="dxa"/>
            <w:tcBorders>
              <w:top w:val="nil"/>
              <w:left w:val="nil"/>
              <w:bottom w:val="nil"/>
              <w:right w:val="nil"/>
            </w:tcBorders>
            <w:shd w:val="clear" w:color="auto" w:fill="auto"/>
            <w:noWrap/>
            <w:vAlign w:val="bottom"/>
            <w:hideMark/>
          </w:tcPr>
          <w:p w14:paraId="6F151452" w14:textId="77777777" w:rsidR="004E0914" w:rsidRPr="004E0914" w:rsidRDefault="004E0914" w:rsidP="004E0914">
            <w:pPr>
              <w:spacing w:after="0" w:line="240" w:lineRule="auto"/>
              <w:rPr>
                <w:rFonts w:eastAsia="Times New Roman"/>
                <w:color w:val="000000"/>
                <w:sz w:val="22"/>
              </w:rPr>
            </w:pPr>
          </w:p>
        </w:tc>
        <w:tc>
          <w:tcPr>
            <w:tcW w:w="1302" w:type="dxa"/>
            <w:tcBorders>
              <w:top w:val="nil"/>
              <w:left w:val="nil"/>
              <w:bottom w:val="nil"/>
              <w:right w:val="nil"/>
            </w:tcBorders>
            <w:shd w:val="clear" w:color="auto" w:fill="auto"/>
            <w:noWrap/>
            <w:vAlign w:val="bottom"/>
            <w:hideMark/>
          </w:tcPr>
          <w:p w14:paraId="16B9903E" w14:textId="77777777" w:rsidR="004E0914" w:rsidRPr="004E0914" w:rsidRDefault="004E0914" w:rsidP="004E0914">
            <w:pPr>
              <w:spacing w:after="0" w:line="240" w:lineRule="auto"/>
              <w:rPr>
                <w:rFonts w:eastAsia="Times New Roman"/>
                <w:color w:val="000000"/>
                <w:sz w:val="22"/>
              </w:rPr>
            </w:pPr>
          </w:p>
        </w:tc>
        <w:tc>
          <w:tcPr>
            <w:tcW w:w="1265" w:type="dxa"/>
            <w:tcBorders>
              <w:top w:val="nil"/>
              <w:left w:val="nil"/>
              <w:bottom w:val="nil"/>
              <w:right w:val="nil"/>
            </w:tcBorders>
            <w:shd w:val="clear" w:color="auto" w:fill="auto"/>
            <w:noWrap/>
            <w:vAlign w:val="bottom"/>
            <w:hideMark/>
          </w:tcPr>
          <w:p w14:paraId="67DF5723" w14:textId="77777777" w:rsidR="004E0914" w:rsidRPr="004E0914" w:rsidRDefault="004E0914" w:rsidP="004E0914">
            <w:pPr>
              <w:spacing w:after="0" w:line="240" w:lineRule="auto"/>
              <w:rPr>
                <w:rFonts w:eastAsia="Times New Roman"/>
                <w:color w:val="000000"/>
                <w:sz w:val="22"/>
              </w:rPr>
            </w:pPr>
          </w:p>
        </w:tc>
        <w:tc>
          <w:tcPr>
            <w:tcW w:w="1145" w:type="dxa"/>
            <w:tcBorders>
              <w:top w:val="nil"/>
              <w:left w:val="nil"/>
              <w:bottom w:val="nil"/>
              <w:right w:val="nil"/>
            </w:tcBorders>
            <w:shd w:val="clear" w:color="auto" w:fill="auto"/>
            <w:noWrap/>
            <w:vAlign w:val="bottom"/>
            <w:hideMark/>
          </w:tcPr>
          <w:p w14:paraId="7E1ED7E4" w14:textId="77777777" w:rsidR="004E0914" w:rsidRPr="004E0914" w:rsidRDefault="004E0914" w:rsidP="004E0914">
            <w:pPr>
              <w:spacing w:after="0" w:line="240" w:lineRule="auto"/>
              <w:rPr>
                <w:rFonts w:eastAsia="Times New Roman"/>
                <w:color w:val="000000"/>
                <w:sz w:val="22"/>
              </w:rPr>
            </w:pPr>
          </w:p>
        </w:tc>
        <w:tc>
          <w:tcPr>
            <w:tcW w:w="1281" w:type="dxa"/>
            <w:tcBorders>
              <w:top w:val="nil"/>
              <w:left w:val="nil"/>
              <w:bottom w:val="nil"/>
              <w:right w:val="nil"/>
            </w:tcBorders>
            <w:shd w:val="clear" w:color="auto" w:fill="auto"/>
            <w:noWrap/>
            <w:vAlign w:val="bottom"/>
            <w:hideMark/>
          </w:tcPr>
          <w:p w14:paraId="004D418A" w14:textId="77777777" w:rsidR="004E0914" w:rsidRPr="004E0914" w:rsidRDefault="004E0914" w:rsidP="004E0914">
            <w:pPr>
              <w:spacing w:after="0" w:line="240" w:lineRule="auto"/>
              <w:rPr>
                <w:rFonts w:eastAsia="Times New Roman"/>
                <w:color w:val="000000"/>
                <w:sz w:val="22"/>
              </w:rPr>
            </w:pPr>
          </w:p>
        </w:tc>
        <w:tc>
          <w:tcPr>
            <w:tcW w:w="3733" w:type="dxa"/>
            <w:tcBorders>
              <w:top w:val="nil"/>
              <w:left w:val="nil"/>
              <w:bottom w:val="nil"/>
              <w:right w:val="nil"/>
            </w:tcBorders>
            <w:shd w:val="clear" w:color="auto" w:fill="auto"/>
            <w:noWrap/>
            <w:vAlign w:val="bottom"/>
            <w:hideMark/>
          </w:tcPr>
          <w:p w14:paraId="2ED7FA6A" w14:textId="77777777" w:rsidR="004E0914" w:rsidRPr="004E0914" w:rsidRDefault="004E0914" w:rsidP="004E0914">
            <w:pPr>
              <w:spacing w:after="0" w:line="240" w:lineRule="auto"/>
              <w:rPr>
                <w:rFonts w:eastAsia="Times New Roman"/>
                <w:color w:val="000000"/>
                <w:sz w:val="22"/>
              </w:rPr>
            </w:pPr>
          </w:p>
        </w:tc>
      </w:tr>
      <w:tr w:rsidR="004E0914" w:rsidRPr="004E0914" w14:paraId="73597075" w14:textId="77777777" w:rsidTr="009834C1">
        <w:trPr>
          <w:trHeight w:val="499"/>
        </w:trPr>
        <w:tc>
          <w:tcPr>
            <w:tcW w:w="9456" w:type="dxa"/>
            <w:gridSpan w:val="6"/>
            <w:vMerge w:val="restart"/>
            <w:tcBorders>
              <w:top w:val="single" w:sz="4" w:space="0" w:color="auto"/>
              <w:left w:val="nil"/>
              <w:bottom w:val="single" w:sz="4" w:space="0" w:color="000000"/>
              <w:right w:val="nil"/>
            </w:tcBorders>
            <w:shd w:val="clear" w:color="auto" w:fill="auto"/>
            <w:noWrap/>
            <w:vAlign w:val="center"/>
            <w:hideMark/>
          </w:tcPr>
          <w:p w14:paraId="776185DD" w14:textId="77777777" w:rsidR="004E0914" w:rsidRPr="00F13BF5" w:rsidRDefault="00F13BF5" w:rsidP="00290AD3">
            <w:pPr>
              <w:pStyle w:val="Caption"/>
              <w:rPr>
                <w:rFonts w:eastAsia="Times New Roman"/>
                <w:bCs w:val="0"/>
                <w:color w:val="000000"/>
                <w:sz w:val="26"/>
                <w:szCs w:val="26"/>
              </w:rPr>
            </w:pPr>
            <w:bookmarkStart w:id="23" w:name="_Toc492828027"/>
            <w:r w:rsidRPr="00F13BF5">
              <w:rPr>
                <w:color w:val="000000" w:themeColor="text1"/>
                <w:sz w:val="26"/>
                <w:szCs w:val="26"/>
              </w:rPr>
              <w:t xml:space="preserve">Table </w:t>
            </w:r>
            <w:r w:rsidRPr="00F13BF5">
              <w:rPr>
                <w:color w:val="000000" w:themeColor="text1"/>
                <w:sz w:val="26"/>
                <w:szCs w:val="26"/>
              </w:rPr>
              <w:fldChar w:fldCharType="begin"/>
            </w:r>
            <w:r w:rsidRPr="00F13BF5">
              <w:rPr>
                <w:color w:val="000000" w:themeColor="text1"/>
                <w:sz w:val="26"/>
                <w:szCs w:val="26"/>
              </w:rPr>
              <w:instrText xml:space="preserve"> SEQ Table \* ARABIC </w:instrText>
            </w:r>
            <w:r w:rsidRPr="00F13BF5">
              <w:rPr>
                <w:color w:val="000000" w:themeColor="text1"/>
                <w:sz w:val="26"/>
                <w:szCs w:val="26"/>
              </w:rPr>
              <w:fldChar w:fldCharType="separate"/>
            </w:r>
            <w:r w:rsidR="0010294F">
              <w:rPr>
                <w:noProof/>
                <w:color w:val="000000" w:themeColor="text1"/>
                <w:sz w:val="26"/>
                <w:szCs w:val="26"/>
              </w:rPr>
              <w:t>5</w:t>
            </w:r>
            <w:r w:rsidRPr="00F13BF5">
              <w:rPr>
                <w:color w:val="000000" w:themeColor="text1"/>
                <w:sz w:val="26"/>
                <w:szCs w:val="26"/>
              </w:rPr>
              <w:fldChar w:fldCharType="end"/>
            </w:r>
            <w:r w:rsidR="004E0914" w:rsidRPr="00F13BF5">
              <w:rPr>
                <w:rFonts w:eastAsia="Times New Roman"/>
                <w:bCs w:val="0"/>
                <w:color w:val="000000" w:themeColor="text1"/>
                <w:sz w:val="26"/>
                <w:szCs w:val="26"/>
              </w:rPr>
              <w:t xml:space="preserve">: Rank of InTASC Standards by </w:t>
            </w:r>
            <w:r w:rsidR="004E0914" w:rsidRPr="00F13BF5">
              <w:rPr>
                <w:rFonts w:eastAsia="Times New Roman"/>
                <w:bCs w:val="0"/>
                <w:i/>
                <w:color w:val="000000" w:themeColor="text1"/>
                <w:sz w:val="26"/>
                <w:szCs w:val="26"/>
              </w:rPr>
              <w:t>Proficiency</w:t>
            </w:r>
            <w:r w:rsidR="004E0914" w:rsidRPr="00F13BF5">
              <w:rPr>
                <w:rFonts w:eastAsia="Times New Roman"/>
                <w:bCs w:val="0"/>
                <w:color w:val="000000" w:themeColor="text1"/>
                <w:sz w:val="26"/>
                <w:szCs w:val="26"/>
              </w:rPr>
              <w:t xml:space="preserve"> Frequency</w:t>
            </w:r>
            <w:bookmarkEnd w:id="23"/>
          </w:p>
        </w:tc>
      </w:tr>
      <w:tr w:rsidR="004E0914" w:rsidRPr="004E0914" w14:paraId="2732BFAC" w14:textId="77777777" w:rsidTr="009834C1">
        <w:trPr>
          <w:trHeight w:val="379"/>
        </w:trPr>
        <w:tc>
          <w:tcPr>
            <w:tcW w:w="9456" w:type="dxa"/>
            <w:gridSpan w:val="6"/>
            <w:vMerge/>
            <w:tcBorders>
              <w:top w:val="single" w:sz="4" w:space="0" w:color="auto"/>
              <w:left w:val="nil"/>
              <w:bottom w:val="single" w:sz="4" w:space="0" w:color="000000"/>
              <w:right w:val="nil"/>
            </w:tcBorders>
            <w:vAlign w:val="center"/>
            <w:hideMark/>
          </w:tcPr>
          <w:p w14:paraId="493C3E67" w14:textId="77777777" w:rsidR="004E0914" w:rsidRPr="004E0914" w:rsidRDefault="004E0914" w:rsidP="004E0914">
            <w:pPr>
              <w:spacing w:after="0" w:line="240" w:lineRule="auto"/>
              <w:rPr>
                <w:rFonts w:eastAsia="Times New Roman"/>
                <w:b/>
                <w:bCs/>
                <w:color w:val="000000"/>
                <w:sz w:val="26"/>
                <w:szCs w:val="26"/>
              </w:rPr>
            </w:pPr>
          </w:p>
        </w:tc>
      </w:tr>
      <w:tr w:rsidR="009834C1" w:rsidRPr="004E0914" w14:paraId="75540BD0" w14:textId="77777777" w:rsidTr="009834C1">
        <w:trPr>
          <w:trHeight w:val="300"/>
        </w:trPr>
        <w:tc>
          <w:tcPr>
            <w:tcW w:w="730" w:type="dxa"/>
            <w:tcBorders>
              <w:top w:val="nil"/>
              <w:left w:val="nil"/>
              <w:bottom w:val="nil"/>
              <w:right w:val="nil"/>
            </w:tcBorders>
            <w:shd w:val="clear" w:color="auto" w:fill="auto"/>
            <w:noWrap/>
            <w:vAlign w:val="bottom"/>
            <w:hideMark/>
          </w:tcPr>
          <w:p w14:paraId="60F0038C" w14:textId="77777777" w:rsidR="009834C1" w:rsidRPr="004E0914" w:rsidRDefault="009834C1" w:rsidP="004E0914">
            <w:pPr>
              <w:spacing w:after="0" w:line="240" w:lineRule="auto"/>
              <w:rPr>
                <w:rFonts w:eastAsia="Times New Roman"/>
                <w:color w:val="000000"/>
                <w:sz w:val="22"/>
              </w:rPr>
            </w:pPr>
          </w:p>
        </w:tc>
        <w:tc>
          <w:tcPr>
            <w:tcW w:w="1302" w:type="dxa"/>
            <w:tcBorders>
              <w:top w:val="nil"/>
              <w:left w:val="nil"/>
              <w:bottom w:val="nil"/>
              <w:right w:val="nil"/>
            </w:tcBorders>
            <w:shd w:val="clear" w:color="auto" w:fill="auto"/>
            <w:noWrap/>
            <w:vAlign w:val="bottom"/>
            <w:hideMark/>
          </w:tcPr>
          <w:p w14:paraId="72C4F86F" w14:textId="77777777" w:rsidR="009834C1" w:rsidRPr="004E0914" w:rsidRDefault="009834C1" w:rsidP="004E0914">
            <w:pPr>
              <w:spacing w:after="0" w:line="240" w:lineRule="auto"/>
              <w:rPr>
                <w:rFonts w:eastAsia="Times New Roman"/>
                <w:color w:val="000000"/>
                <w:sz w:val="22"/>
              </w:rPr>
            </w:pPr>
          </w:p>
        </w:tc>
        <w:tc>
          <w:tcPr>
            <w:tcW w:w="1265" w:type="dxa"/>
            <w:tcBorders>
              <w:top w:val="nil"/>
              <w:left w:val="nil"/>
              <w:bottom w:val="nil"/>
              <w:right w:val="nil"/>
            </w:tcBorders>
            <w:shd w:val="clear" w:color="auto" w:fill="auto"/>
            <w:noWrap/>
            <w:vAlign w:val="bottom"/>
            <w:hideMark/>
          </w:tcPr>
          <w:p w14:paraId="097BADB8" w14:textId="77777777" w:rsidR="009834C1" w:rsidRPr="004E0914" w:rsidRDefault="009834C1" w:rsidP="004E0914">
            <w:pPr>
              <w:spacing w:after="0" w:line="240" w:lineRule="auto"/>
              <w:rPr>
                <w:rFonts w:eastAsia="Times New Roman"/>
                <w:b/>
                <w:bCs/>
                <w:color w:val="000000"/>
                <w:sz w:val="22"/>
              </w:rPr>
            </w:pPr>
          </w:p>
        </w:tc>
        <w:tc>
          <w:tcPr>
            <w:tcW w:w="1145" w:type="dxa"/>
            <w:tcBorders>
              <w:top w:val="nil"/>
              <w:left w:val="nil"/>
              <w:bottom w:val="nil"/>
              <w:right w:val="nil"/>
            </w:tcBorders>
            <w:shd w:val="clear" w:color="auto" w:fill="auto"/>
            <w:noWrap/>
            <w:vAlign w:val="bottom"/>
            <w:hideMark/>
          </w:tcPr>
          <w:p w14:paraId="68C414D4" w14:textId="77777777" w:rsidR="009834C1" w:rsidRPr="001F2325" w:rsidRDefault="001F2325" w:rsidP="004E0914">
            <w:pPr>
              <w:spacing w:after="0" w:line="240" w:lineRule="auto"/>
              <w:rPr>
                <w:rFonts w:eastAsia="Times New Roman"/>
                <w:b/>
                <w:color w:val="000000"/>
                <w:sz w:val="22"/>
              </w:rPr>
            </w:pPr>
            <w:r w:rsidRPr="001F2325">
              <w:rPr>
                <w:rFonts w:eastAsia="Times New Roman"/>
                <w:b/>
                <w:color w:val="000000"/>
                <w:sz w:val="22"/>
              </w:rPr>
              <w:t>Sorted by</w:t>
            </w:r>
          </w:p>
        </w:tc>
        <w:tc>
          <w:tcPr>
            <w:tcW w:w="1281" w:type="dxa"/>
            <w:tcBorders>
              <w:top w:val="nil"/>
              <w:left w:val="nil"/>
              <w:bottom w:val="nil"/>
              <w:right w:val="nil"/>
            </w:tcBorders>
            <w:shd w:val="clear" w:color="auto" w:fill="auto"/>
            <w:noWrap/>
            <w:vAlign w:val="bottom"/>
            <w:hideMark/>
          </w:tcPr>
          <w:p w14:paraId="455FF091" w14:textId="77777777" w:rsidR="009834C1" w:rsidRPr="004E0914" w:rsidRDefault="009834C1" w:rsidP="004E0914">
            <w:pPr>
              <w:spacing w:after="0" w:line="240" w:lineRule="auto"/>
              <w:rPr>
                <w:rFonts w:eastAsia="Times New Roman"/>
                <w:color w:val="000000"/>
                <w:sz w:val="22"/>
              </w:rPr>
            </w:pPr>
          </w:p>
        </w:tc>
        <w:tc>
          <w:tcPr>
            <w:tcW w:w="3733" w:type="dxa"/>
            <w:tcBorders>
              <w:top w:val="nil"/>
              <w:left w:val="nil"/>
              <w:bottom w:val="nil"/>
              <w:right w:val="nil"/>
            </w:tcBorders>
            <w:shd w:val="clear" w:color="auto" w:fill="auto"/>
            <w:noWrap/>
            <w:vAlign w:val="bottom"/>
            <w:hideMark/>
          </w:tcPr>
          <w:p w14:paraId="0C9CC591" w14:textId="77777777" w:rsidR="009834C1" w:rsidRPr="004E0914" w:rsidRDefault="009834C1" w:rsidP="00562539">
            <w:pPr>
              <w:spacing w:after="0" w:line="240" w:lineRule="auto"/>
              <w:jc w:val="center"/>
              <w:rPr>
                <w:rFonts w:eastAsia="Times New Roman"/>
                <w:color w:val="000000"/>
                <w:sz w:val="22"/>
              </w:rPr>
            </w:pPr>
            <w:r w:rsidRPr="00C53AB7">
              <w:rPr>
                <w:rFonts w:eastAsia="Times New Roman"/>
                <w:b/>
                <w:bCs/>
                <w:color w:val="000000"/>
                <w:sz w:val="22"/>
              </w:rPr>
              <w:t>InTASC Standard</w:t>
            </w:r>
          </w:p>
        </w:tc>
      </w:tr>
      <w:tr w:rsidR="009834C1" w:rsidRPr="004E0914" w14:paraId="0DD08F85" w14:textId="77777777" w:rsidTr="009834C1">
        <w:trPr>
          <w:trHeight w:val="330"/>
        </w:trPr>
        <w:tc>
          <w:tcPr>
            <w:tcW w:w="730" w:type="dxa"/>
            <w:tcBorders>
              <w:top w:val="nil"/>
              <w:left w:val="nil"/>
              <w:bottom w:val="nil"/>
              <w:right w:val="nil"/>
            </w:tcBorders>
            <w:shd w:val="clear" w:color="auto" w:fill="auto"/>
            <w:noWrap/>
            <w:vAlign w:val="bottom"/>
            <w:hideMark/>
          </w:tcPr>
          <w:p w14:paraId="345616FC"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Rank</w:t>
            </w:r>
          </w:p>
        </w:tc>
        <w:tc>
          <w:tcPr>
            <w:tcW w:w="1302" w:type="dxa"/>
            <w:tcBorders>
              <w:top w:val="nil"/>
              <w:left w:val="nil"/>
              <w:bottom w:val="nil"/>
              <w:right w:val="nil"/>
            </w:tcBorders>
            <w:shd w:val="clear" w:color="auto" w:fill="auto"/>
            <w:noWrap/>
            <w:vAlign w:val="bottom"/>
            <w:hideMark/>
          </w:tcPr>
          <w:p w14:paraId="65BC9517"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Standard</w:t>
            </w:r>
          </w:p>
        </w:tc>
        <w:tc>
          <w:tcPr>
            <w:tcW w:w="1265" w:type="dxa"/>
            <w:tcBorders>
              <w:top w:val="nil"/>
              <w:left w:val="nil"/>
              <w:bottom w:val="nil"/>
              <w:right w:val="nil"/>
            </w:tcBorders>
            <w:shd w:val="clear" w:color="auto" w:fill="auto"/>
            <w:noWrap/>
            <w:vAlign w:val="bottom"/>
            <w:hideMark/>
          </w:tcPr>
          <w:p w14:paraId="0EB08181" w14:textId="77777777" w:rsidR="009834C1" w:rsidRPr="001F2325" w:rsidRDefault="009834C1" w:rsidP="004E0914">
            <w:pPr>
              <w:spacing w:after="0" w:line="240" w:lineRule="auto"/>
              <w:rPr>
                <w:rFonts w:eastAsia="Times New Roman"/>
                <w:bCs/>
                <w:color w:val="000000"/>
                <w:sz w:val="22"/>
              </w:rPr>
            </w:pPr>
            <w:r w:rsidRPr="001F2325">
              <w:rPr>
                <w:rFonts w:eastAsia="Times New Roman"/>
                <w:bCs/>
                <w:color w:val="000000"/>
                <w:sz w:val="22"/>
              </w:rPr>
              <w:t>Exemplary</w:t>
            </w:r>
          </w:p>
        </w:tc>
        <w:tc>
          <w:tcPr>
            <w:tcW w:w="1145" w:type="dxa"/>
            <w:tcBorders>
              <w:top w:val="nil"/>
              <w:left w:val="nil"/>
              <w:bottom w:val="nil"/>
              <w:right w:val="nil"/>
            </w:tcBorders>
            <w:shd w:val="clear" w:color="auto" w:fill="auto"/>
            <w:noWrap/>
            <w:vAlign w:val="bottom"/>
            <w:hideMark/>
          </w:tcPr>
          <w:p w14:paraId="2464E5CA" w14:textId="77777777" w:rsidR="009834C1" w:rsidRPr="004E0914" w:rsidRDefault="009834C1" w:rsidP="004E0914">
            <w:pPr>
              <w:spacing w:after="0" w:line="240" w:lineRule="auto"/>
              <w:rPr>
                <w:rFonts w:eastAsia="Times New Roman"/>
                <w:b/>
                <w:bCs/>
                <w:color w:val="000000"/>
                <w:sz w:val="22"/>
              </w:rPr>
            </w:pPr>
            <w:r w:rsidRPr="004E0914">
              <w:rPr>
                <w:rFonts w:eastAsia="Times New Roman"/>
                <w:b/>
                <w:bCs/>
                <w:color w:val="000000"/>
                <w:sz w:val="22"/>
              </w:rPr>
              <w:t>Proficient</w:t>
            </w:r>
          </w:p>
        </w:tc>
        <w:tc>
          <w:tcPr>
            <w:tcW w:w="1281" w:type="dxa"/>
            <w:tcBorders>
              <w:top w:val="nil"/>
              <w:left w:val="nil"/>
              <w:bottom w:val="nil"/>
              <w:right w:val="nil"/>
            </w:tcBorders>
            <w:shd w:val="clear" w:color="auto" w:fill="auto"/>
            <w:noWrap/>
            <w:vAlign w:val="bottom"/>
            <w:hideMark/>
          </w:tcPr>
          <w:p w14:paraId="4DD04B80" w14:textId="77777777" w:rsidR="009834C1" w:rsidRPr="001F2325" w:rsidRDefault="009834C1" w:rsidP="004E0914">
            <w:pPr>
              <w:spacing w:after="0" w:line="240" w:lineRule="auto"/>
              <w:rPr>
                <w:rFonts w:eastAsia="Times New Roman"/>
                <w:bCs/>
                <w:color w:val="000000"/>
                <w:sz w:val="22"/>
              </w:rPr>
            </w:pPr>
            <w:r w:rsidRPr="001F2325">
              <w:rPr>
                <w:rFonts w:eastAsia="Times New Roman"/>
                <w:bCs/>
                <w:color w:val="000000"/>
                <w:sz w:val="22"/>
              </w:rPr>
              <w:t>Developing</w:t>
            </w:r>
          </w:p>
        </w:tc>
        <w:tc>
          <w:tcPr>
            <w:tcW w:w="3733" w:type="dxa"/>
            <w:tcBorders>
              <w:top w:val="nil"/>
              <w:left w:val="nil"/>
              <w:bottom w:val="nil"/>
              <w:right w:val="nil"/>
            </w:tcBorders>
            <w:shd w:val="clear" w:color="auto" w:fill="auto"/>
            <w:noWrap/>
            <w:vAlign w:val="bottom"/>
            <w:hideMark/>
          </w:tcPr>
          <w:p w14:paraId="4AED5487" w14:textId="77777777" w:rsidR="009834C1" w:rsidRPr="004E0914" w:rsidRDefault="009834C1" w:rsidP="00562539">
            <w:pPr>
              <w:spacing w:after="0" w:line="240" w:lineRule="auto"/>
              <w:jc w:val="center"/>
              <w:rPr>
                <w:rFonts w:eastAsia="Times New Roman"/>
                <w:b/>
                <w:color w:val="000000"/>
                <w:sz w:val="22"/>
              </w:rPr>
            </w:pPr>
            <w:r w:rsidRPr="009834C1">
              <w:rPr>
                <w:rFonts w:eastAsia="Times New Roman"/>
                <w:b/>
                <w:color w:val="000000"/>
                <w:sz w:val="22"/>
              </w:rPr>
              <w:t>Descriptor</w:t>
            </w:r>
          </w:p>
        </w:tc>
      </w:tr>
      <w:tr w:rsidR="009834C1" w:rsidRPr="004E0914" w14:paraId="5793068E" w14:textId="77777777" w:rsidTr="009834C1">
        <w:trPr>
          <w:trHeight w:val="300"/>
        </w:trPr>
        <w:tc>
          <w:tcPr>
            <w:tcW w:w="730" w:type="dxa"/>
            <w:tcBorders>
              <w:top w:val="single" w:sz="4" w:space="0" w:color="auto"/>
              <w:left w:val="nil"/>
              <w:bottom w:val="nil"/>
              <w:right w:val="nil"/>
            </w:tcBorders>
            <w:shd w:val="clear" w:color="auto" w:fill="auto"/>
            <w:noWrap/>
            <w:vAlign w:val="bottom"/>
            <w:hideMark/>
          </w:tcPr>
          <w:p w14:paraId="151E97F1"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w:t>
            </w:r>
          </w:p>
        </w:tc>
        <w:tc>
          <w:tcPr>
            <w:tcW w:w="1302" w:type="dxa"/>
            <w:tcBorders>
              <w:top w:val="single" w:sz="4" w:space="0" w:color="auto"/>
              <w:left w:val="nil"/>
              <w:bottom w:val="nil"/>
              <w:right w:val="nil"/>
            </w:tcBorders>
            <w:shd w:val="clear" w:color="auto" w:fill="auto"/>
            <w:noWrap/>
            <w:vAlign w:val="bottom"/>
            <w:hideMark/>
          </w:tcPr>
          <w:p w14:paraId="51B7BBFC" w14:textId="77777777" w:rsidR="009834C1" w:rsidRPr="004E0914" w:rsidRDefault="009834C1" w:rsidP="004E0914">
            <w:pPr>
              <w:spacing w:after="0" w:line="240" w:lineRule="auto"/>
              <w:jc w:val="right"/>
              <w:rPr>
                <w:rFonts w:eastAsia="Times New Roman"/>
                <w:b/>
                <w:bCs/>
                <w:color w:val="000000"/>
                <w:sz w:val="22"/>
              </w:rPr>
            </w:pPr>
            <w:r w:rsidRPr="004E0914">
              <w:rPr>
                <w:rFonts w:eastAsia="Times New Roman"/>
                <w:b/>
                <w:bCs/>
                <w:color w:val="000000"/>
                <w:sz w:val="22"/>
              </w:rPr>
              <w:t>InTASC 2</w:t>
            </w:r>
          </w:p>
        </w:tc>
        <w:tc>
          <w:tcPr>
            <w:tcW w:w="1265" w:type="dxa"/>
            <w:tcBorders>
              <w:top w:val="single" w:sz="4" w:space="0" w:color="auto"/>
              <w:left w:val="nil"/>
              <w:bottom w:val="nil"/>
              <w:right w:val="nil"/>
            </w:tcBorders>
            <w:shd w:val="clear" w:color="auto" w:fill="auto"/>
            <w:noWrap/>
            <w:vAlign w:val="bottom"/>
            <w:hideMark/>
          </w:tcPr>
          <w:p w14:paraId="10B39EAC"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11%</w:t>
            </w:r>
          </w:p>
        </w:tc>
        <w:tc>
          <w:tcPr>
            <w:tcW w:w="1145" w:type="dxa"/>
            <w:tcBorders>
              <w:top w:val="single" w:sz="4" w:space="0" w:color="auto"/>
              <w:left w:val="nil"/>
              <w:bottom w:val="nil"/>
              <w:right w:val="nil"/>
            </w:tcBorders>
            <w:shd w:val="clear" w:color="auto" w:fill="auto"/>
            <w:noWrap/>
            <w:vAlign w:val="bottom"/>
            <w:hideMark/>
          </w:tcPr>
          <w:p w14:paraId="55DAE415"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84%</w:t>
            </w:r>
          </w:p>
        </w:tc>
        <w:tc>
          <w:tcPr>
            <w:tcW w:w="1281" w:type="dxa"/>
            <w:tcBorders>
              <w:top w:val="single" w:sz="4" w:space="0" w:color="auto"/>
              <w:left w:val="nil"/>
              <w:bottom w:val="nil"/>
              <w:right w:val="nil"/>
            </w:tcBorders>
            <w:shd w:val="clear" w:color="auto" w:fill="auto"/>
            <w:noWrap/>
            <w:vAlign w:val="bottom"/>
            <w:hideMark/>
          </w:tcPr>
          <w:p w14:paraId="496CCAED"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5%</w:t>
            </w:r>
          </w:p>
        </w:tc>
        <w:tc>
          <w:tcPr>
            <w:tcW w:w="3733" w:type="dxa"/>
            <w:tcBorders>
              <w:top w:val="single" w:sz="4" w:space="0" w:color="auto"/>
              <w:left w:val="nil"/>
              <w:bottom w:val="nil"/>
              <w:right w:val="nil"/>
            </w:tcBorders>
            <w:shd w:val="clear" w:color="auto" w:fill="auto"/>
            <w:noWrap/>
            <w:vAlign w:val="bottom"/>
            <w:hideMark/>
          </w:tcPr>
          <w:p w14:paraId="6DB1C302" w14:textId="77777777" w:rsidR="009834C1" w:rsidRPr="004E0914" w:rsidRDefault="009834C1" w:rsidP="004E0914">
            <w:pPr>
              <w:spacing w:after="0" w:line="240" w:lineRule="auto"/>
              <w:rPr>
                <w:rFonts w:eastAsia="Times New Roman"/>
                <w:b/>
                <w:bCs/>
                <w:color w:val="000000"/>
                <w:sz w:val="22"/>
              </w:rPr>
            </w:pPr>
            <w:r w:rsidRPr="004E0914">
              <w:rPr>
                <w:rFonts w:eastAsia="Times New Roman"/>
                <w:b/>
                <w:bCs/>
                <w:color w:val="000000"/>
                <w:sz w:val="22"/>
              </w:rPr>
              <w:t>Learning Differences</w:t>
            </w:r>
          </w:p>
        </w:tc>
      </w:tr>
      <w:tr w:rsidR="009834C1" w:rsidRPr="004E0914" w14:paraId="112F681A" w14:textId="77777777" w:rsidTr="009834C1">
        <w:trPr>
          <w:trHeight w:val="300"/>
        </w:trPr>
        <w:tc>
          <w:tcPr>
            <w:tcW w:w="730" w:type="dxa"/>
            <w:tcBorders>
              <w:top w:val="nil"/>
              <w:left w:val="nil"/>
              <w:bottom w:val="nil"/>
              <w:right w:val="nil"/>
            </w:tcBorders>
            <w:shd w:val="clear" w:color="auto" w:fill="auto"/>
            <w:noWrap/>
            <w:vAlign w:val="bottom"/>
            <w:hideMark/>
          </w:tcPr>
          <w:p w14:paraId="3E6F65E7"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2</w:t>
            </w:r>
          </w:p>
        </w:tc>
        <w:tc>
          <w:tcPr>
            <w:tcW w:w="1302" w:type="dxa"/>
            <w:tcBorders>
              <w:top w:val="nil"/>
              <w:left w:val="nil"/>
              <w:bottom w:val="nil"/>
              <w:right w:val="nil"/>
            </w:tcBorders>
            <w:shd w:val="clear" w:color="auto" w:fill="auto"/>
            <w:noWrap/>
            <w:vAlign w:val="bottom"/>
            <w:hideMark/>
          </w:tcPr>
          <w:p w14:paraId="52A53379" w14:textId="77777777" w:rsidR="009834C1" w:rsidRPr="004E0914" w:rsidRDefault="009834C1" w:rsidP="004E0914">
            <w:pPr>
              <w:spacing w:after="0" w:line="240" w:lineRule="auto"/>
              <w:jc w:val="right"/>
              <w:rPr>
                <w:rFonts w:eastAsia="Times New Roman"/>
                <w:b/>
                <w:bCs/>
                <w:color w:val="000000"/>
                <w:sz w:val="22"/>
              </w:rPr>
            </w:pPr>
            <w:r w:rsidRPr="004E0914">
              <w:rPr>
                <w:rFonts w:eastAsia="Times New Roman"/>
                <w:b/>
                <w:bCs/>
                <w:color w:val="000000"/>
                <w:sz w:val="22"/>
              </w:rPr>
              <w:t>InTASC 1</w:t>
            </w:r>
          </w:p>
        </w:tc>
        <w:tc>
          <w:tcPr>
            <w:tcW w:w="1265" w:type="dxa"/>
            <w:tcBorders>
              <w:top w:val="nil"/>
              <w:left w:val="nil"/>
              <w:bottom w:val="nil"/>
              <w:right w:val="nil"/>
            </w:tcBorders>
            <w:shd w:val="clear" w:color="auto" w:fill="auto"/>
            <w:noWrap/>
            <w:vAlign w:val="bottom"/>
            <w:hideMark/>
          </w:tcPr>
          <w:p w14:paraId="26B479A8"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9%</w:t>
            </w:r>
          </w:p>
        </w:tc>
        <w:tc>
          <w:tcPr>
            <w:tcW w:w="1145" w:type="dxa"/>
            <w:tcBorders>
              <w:top w:val="nil"/>
              <w:left w:val="nil"/>
              <w:bottom w:val="nil"/>
              <w:right w:val="nil"/>
            </w:tcBorders>
            <w:shd w:val="clear" w:color="auto" w:fill="auto"/>
            <w:noWrap/>
            <w:vAlign w:val="bottom"/>
            <w:hideMark/>
          </w:tcPr>
          <w:p w14:paraId="74ABED8E"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83%</w:t>
            </w:r>
          </w:p>
        </w:tc>
        <w:tc>
          <w:tcPr>
            <w:tcW w:w="1281" w:type="dxa"/>
            <w:tcBorders>
              <w:top w:val="nil"/>
              <w:left w:val="nil"/>
              <w:bottom w:val="nil"/>
              <w:right w:val="nil"/>
            </w:tcBorders>
            <w:shd w:val="clear" w:color="auto" w:fill="auto"/>
            <w:noWrap/>
            <w:vAlign w:val="bottom"/>
            <w:hideMark/>
          </w:tcPr>
          <w:p w14:paraId="02C56464"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8%</w:t>
            </w:r>
          </w:p>
        </w:tc>
        <w:tc>
          <w:tcPr>
            <w:tcW w:w="3733" w:type="dxa"/>
            <w:tcBorders>
              <w:top w:val="nil"/>
              <w:left w:val="nil"/>
              <w:bottom w:val="nil"/>
              <w:right w:val="nil"/>
            </w:tcBorders>
            <w:shd w:val="clear" w:color="auto" w:fill="auto"/>
            <w:noWrap/>
            <w:vAlign w:val="bottom"/>
            <w:hideMark/>
          </w:tcPr>
          <w:p w14:paraId="69A8F0EB" w14:textId="77777777" w:rsidR="009834C1" w:rsidRPr="004E0914" w:rsidRDefault="009834C1" w:rsidP="004E0914">
            <w:pPr>
              <w:spacing w:after="0" w:line="240" w:lineRule="auto"/>
              <w:rPr>
                <w:rFonts w:eastAsia="Times New Roman"/>
                <w:b/>
                <w:bCs/>
                <w:color w:val="000000"/>
                <w:sz w:val="22"/>
              </w:rPr>
            </w:pPr>
            <w:r w:rsidRPr="004E0914">
              <w:rPr>
                <w:rFonts w:eastAsia="Times New Roman"/>
                <w:b/>
                <w:bCs/>
                <w:color w:val="000000"/>
                <w:sz w:val="22"/>
              </w:rPr>
              <w:t>Learner Development</w:t>
            </w:r>
          </w:p>
        </w:tc>
      </w:tr>
      <w:tr w:rsidR="009834C1" w:rsidRPr="004E0914" w14:paraId="47AF7C9E" w14:textId="77777777" w:rsidTr="009834C1">
        <w:trPr>
          <w:trHeight w:val="300"/>
        </w:trPr>
        <w:tc>
          <w:tcPr>
            <w:tcW w:w="730" w:type="dxa"/>
            <w:tcBorders>
              <w:top w:val="nil"/>
              <w:left w:val="nil"/>
              <w:bottom w:val="nil"/>
              <w:right w:val="nil"/>
            </w:tcBorders>
            <w:shd w:val="clear" w:color="auto" w:fill="auto"/>
            <w:noWrap/>
            <w:vAlign w:val="bottom"/>
            <w:hideMark/>
          </w:tcPr>
          <w:p w14:paraId="62B97A2C"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3</w:t>
            </w:r>
          </w:p>
        </w:tc>
        <w:tc>
          <w:tcPr>
            <w:tcW w:w="1302" w:type="dxa"/>
            <w:tcBorders>
              <w:top w:val="nil"/>
              <w:left w:val="nil"/>
              <w:bottom w:val="nil"/>
              <w:right w:val="nil"/>
            </w:tcBorders>
            <w:shd w:val="clear" w:color="auto" w:fill="auto"/>
            <w:noWrap/>
            <w:vAlign w:val="bottom"/>
            <w:hideMark/>
          </w:tcPr>
          <w:p w14:paraId="0090C3D4" w14:textId="77777777" w:rsidR="009834C1" w:rsidRPr="004E0914" w:rsidRDefault="009834C1" w:rsidP="004E0914">
            <w:pPr>
              <w:spacing w:after="0" w:line="240" w:lineRule="auto"/>
              <w:jc w:val="right"/>
              <w:rPr>
                <w:rFonts w:eastAsia="Times New Roman"/>
                <w:b/>
                <w:bCs/>
                <w:color w:val="000000"/>
                <w:sz w:val="22"/>
              </w:rPr>
            </w:pPr>
            <w:r w:rsidRPr="004E0914">
              <w:rPr>
                <w:rFonts w:eastAsia="Times New Roman"/>
                <w:b/>
                <w:bCs/>
                <w:color w:val="000000"/>
                <w:sz w:val="22"/>
              </w:rPr>
              <w:t>InTASC 4</w:t>
            </w:r>
          </w:p>
        </w:tc>
        <w:tc>
          <w:tcPr>
            <w:tcW w:w="1265" w:type="dxa"/>
            <w:tcBorders>
              <w:top w:val="nil"/>
              <w:left w:val="nil"/>
              <w:bottom w:val="nil"/>
              <w:right w:val="nil"/>
            </w:tcBorders>
            <w:shd w:val="clear" w:color="auto" w:fill="auto"/>
            <w:noWrap/>
            <w:vAlign w:val="bottom"/>
            <w:hideMark/>
          </w:tcPr>
          <w:p w14:paraId="4CB54753"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11%</w:t>
            </w:r>
          </w:p>
        </w:tc>
        <w:tc>
          <w:tcPr>
            <w:tcW w:w="1145" w:type="dxa"/>
            <w:tcBorders>
              <w:top w:val="nil"/>
              <w:left w:val="nil"/>
              <w:bottom w:val="nil"/>
              <w:right w:val="nil"/>
            </w:tcBorders>
            <w:shd w:val="clear" w:color="auto" w:fill="auto"/>
            <w:noWrap/>
            <w:vAlign w:val="bottom"/>
            <w:hideMark/>
          </w:tcPr>
          <w:p w14:paraId="617E148B"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82%</w:t>
            </w:r>
          </w:p>
        </w:tc>
        <w:tc>
          <w:tcPr>
            <w:tcW w:w="1281" w:type="dxa"/>
            <w:tcBorders>
              <w:top w:val="nil"/>
              <w:left w:val="nil"/>
              <w:bottom w:val="nil"/>
              <w:right w:val="nil"/>
            </w:tcBorders>
            <w:shd w:val="clear" w:color="auto" w:fill="auto"/>
            <w:noWrap/>
            <w:vAlign w:val="bottom"/>
            <w:hideMark/>
          </w:tcPr>
          <w:p w14:paraId="3CE6F230"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7%</w:t>
            </w:r>
          </w:p>
        </w:tc>
        <w:tc>
          <w:tcPr>
            <w:tcW w:w="3733" w:type="dxa"/>
            <w:tcBorders>
              <w:top w:val="nil"/>
              <w:left w:val="nil"/>
              <w:bottom w:val="nil"/>
              <w:right w:val="nil"/>
            </w:tcBorders>
            <w:shd w:val="clear" w:color="auto" w:fill="auto"/>
            <w:noWrap/>
            <w:vAlign w:val="bottom"/>
            <w:hideMark/>
          </w:tcPr>
          <w:p w14:paraId="02E5DF2D" w14:textId="77777777" w:rsidR="009834C1" w:rsidRPr="004E0914" w:rsidRDefault="009834C1" w:rsidP="004E0914">
            <w:pPr>
              <w:spacing w:after="0" w:line="240" w:lineRule="auto"/>
              <w:rPr>
                <w:rFonts w:eastAsia="Times New Roman"/>
                <w:b/>
                <w:bCs/>
                <w:color w:val="000000"/>
                <w:sz w:val="22"/>
              </w:rPr>
            </w:pPr>
            <w:r w:rsidRPr="004E0914">
              <w:rPr>
                <w:rFonts w:eastAsia="Times New Roman"/>
                <w:b/>
                <w:bCs/>
                <w:color w:val="000000"/>
                <w:sz w:val="22"/>
              </w:rPr>
              <w:t>Content Knowledge</w:t>
            </w:r>
          </w:p>
        </w:tc>
      </w:tr>
      <w:tr w:rsidR="009834C1" w:rsidRPr="004E0914" w14:paraId="65E53BF0" w14:textId="77777777" w:rsidTr="009834C1">
        <w:trPr>
          <w:trHeight w:val="300"/>
        </w:trPr>
        <w:tc>
          <w:tcPr>
            <w:tcW w:w="730" w:type="dxa"/>
            <w:tcBorders>
              <w:top w:val="nil"/>
              <w:left w:val="nil"/>
              <w:bottom w:val="nil"/>
              <w:right w:val="nil"/>
            </w:tcBorders>
            <w:shd w:val="clear" w:color="auto" w:fill="auto"/>
            <w:noWrap/>
            <w:vAlign w:val="bottom"/>
            <w:hideMark/>
          </w:tcPr>
          <w:p w14:paraId="324C86E1"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3</w:t>
            </w:r>
          </w:p>
        </w:tc>
        <w:tc>
          <w:tcPr>
            <w:tcW w:w="1302" w:type="dxa"/>
            <w:tcBorders>
              <w:top w:val="nil"/>
              <w:left w:val="nil"/>
              <w:bottom w:val="nil"/>
              <w:right w:val="nil"/>
            </w:tcBorders>
            <w:shd w:val="clear" w:color="auto" w:fill="auto"/>
            <w:noWrap/>
            <w:vAlign w:val="bottom"/>
            <w:hideMark/>
          </w:tcPr>
          <w:p w14:paraId="3CDF292D" w14:textId="77777777" w:rsidR="009834C1" w:rsidRPr="004E0914" w:rsidRDefault="009834C1" w:rsidP="004E0914">
            <w:pPr>
              <w:spacing w:after="0" w:line="240" w:lineRule="auto"/>
              <w:jc w:val="right"/>
              <w:rPr>
                <w:rFonts w:eastAsia="Times New Roman"/>
                <w:b/>
                <w:bCs/>
                <w:color w:val="000000"/>
                <w:sz w:val="22"/>
              </w:rPr>
            </w:pPr>
            <w:r w:rsidRPr="004E0914">
              <w:rPr>
                <w:rFonts w:eastAsia="Times New Roman"/>
                <w:b/>
                <w:bCs/>
                <w:color w:val="000000"/>
                <w:sz w:val="22"/>
              </w:rPr>
              <w:t>InTASC 7</w:t>
            </w:r>
          </w:p>
        </w:tc>
        <w:tc>
          <w:tcPr>
            <w:tcW w:w="1265" w:type="dxa"/>
            <w:tcBorders>
              <w:top w:val="nil"/>
              <w:left w:val="nil"/>
              <w:bottom w:val="nil"/>
              <w:right w:val="nil"/>
            </w:tcBorders>
            <w:shd w:val="clear" w:color="auto" w:fill="auto"/>
            <w:noWrap/>
            <w:vAlign w:val="bottom"/>
            <w:hideMark/>
          </w:tcPr>
          <w:p w14:paraId="583B691B"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10%</w:t>
            </w:r>
          </w:p>
        </w:tc>
        <w:tc>
          <w:tcPr>
            <w:tcW w:w="1145" w:type="dxa"/>
            <w:tcBorders>
              <w:top w:val="nil"/>
              <w:left w:val="nil"/>
              <w:bottom w:val="nil"/>
              <w:right w:val="nil"/>
            </w:tcBorders>
            <w:shd w:val="clear" w:color="auto" w:fill="auto"/>
            <w:noWrap/>
            <w:vAlign w:val="bottom"/>
            <w:hideMark/>
          </w:tcPr>
          <w:p w14:paraId="7A3C0EC4"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82%</w:t>
            </w:r>
          </w:p>
        </w:tc>
        <w:tc>
          <w:tcPr>
            <w:tcW w:w="1281" w:type="dxa"/>
            <w:tcBorders>
              <w:top w:val="nil"/>
              <w:left w:val="nil"/>
              <w:bottom w:val="nil"/>
              <w:right w:val="nil"/>
            </w:tcBorders>
            <w:shd w:val="clear" w:color="auto" w:fill="auto"/>
            <w:noWrap/>
            <w:vAlign w:val="bottom"/>
            <w:hideMark/>
          </w:tcPr>
          <w:p w14:paraId="6D0F6CDC"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8%</w:t>
            </w:r>
          </w:p>
        </w:tc>
        <w:tc>
          <w:tcPr>
            <w:tcW w:w="3733" w:type="dxa"/>
            <w:tcBorders>
              <w:top w:val="nil"/>
              <w:left w:val="nil"/>
              <w:bottom w:val="nil"/>
              <w:right w:val="nil"/>
            </w:tcBorders>
            <w:shd w:val="clear" w:color="auto" w:fill="auto"/>
            <w:noWrap/>
            <w:vAlign w:val="bottom"/>
            <w:hideMark/>
          </w:tcPr>
          <w:p w14:paraId="03D03746" w14:textId="77777777" w:rsidR="009834C1" w:rsidRPr="004E0914" w:rsidRDefault="009834C1" w:rsidP="004E0914">
            <w:pPr>
              <w:spacing w:after="0" w:line="240" w:lineRule="auto"/>
              <w:rPr>
                <w:rFonts w:eastAsia="Times New Roman"/>
                <w:b/>
                <w:bCs/>
                <w:color w:val="000000"/>
                <w:sz w:val="22"/>
              </w:rPr>
            </w:pPr>
            <w:r w:rsidRPr="004E0914">
              <w:rPr>
                <w:rFonts w:eastAsia="Times New Roman"/>
                <w:b/>
                <w:bCs/>
                <w:color w:val="000000"/>
                <w:sz w:val="22"/>
              </w:rPr>
              <w:t>Planning for Instruction</w:t>
            </w:r>
          </w:p>
        </w:tc>
      </w:tr>
      <w:tr w:rsidR="009834C1" w:rsidRPr="004E0914" w14:paraId="689AFB43" w14:textId="77777777" w:rsidTr="009834C1">
        <w:trPr>
          <w:trHeight w:val="300"/>
        </w:trPr>
        <w:tc>
          <w:tcPr>
            <w:tcW w:w="730" w:type="dxa"/>
            <w:tcBorders>
              <w:top w:val="nil"/>
              <w:left w:val="nil"/>
              <w:bottom w:val="nil"/>
              <w:right w:val="nil"/>
            </w:tcBorders>
            <w:shd w:val="clear" w:color="auto" w:fill="auto"/>
            <w:noWrap/>
            <w:vAlign w:val="bottom"/>
            <w:hideMark/>
          </w:tcPr>
          <w:p w14:paraId="26395947"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5</w:t>
            </w:r>
          </w:p>
        </w:tc>
        <w:tc>
          <w:tcPr>
            <w:tcW w:w="1302" w:type="dxa"/>
            <w:tcBorders>
              <w:top w:val="nil"/>
              <w:left w:val="nil"/>
              <w:bottom w:val="nil"/>
              <w:right w:val="nil"/>
            </w:tcBorders>
            <w:shd w:val="clear" w:color="auto" w:fill="auto"/>
            <w:noWrap/>
            <w:vAlign w:val="bottom"/>
            <w:hideMark/>
          </w:tcPr>
          <w:p w14:paraId="0122D2A3" w14:textId="77777777" w:rsidR="009834C1" w:rsidRPr="004E0914" w:rsidRDefault="009834C1" w:rsidP="004E0914">
            <w:pPr>
              <w:spacing w:after="0" w:line="240" w:lineRule="auto"/>
              <w:jc w:val="right"/>
              <w:rPr>
                <w:rFonts w:eastAsia="Times New Roman"/>
                <w:b/>
                <w:bCs/>
                <w:color w:val="000000"/>
                <w:sz w:val="22"/>
              </w:rPr>
            </w:pPr>
            <w:r w:rsidRPr="004E0914">
              <w:rPr>
                <w:rFonts w:eastAsia="Times New Roman"/>
                <w:b/>
                <w:bCs/>
                <w:color w:val="000000"/>
                <w:sz w:val="22"/>
              </w:rPr>
              <w:t>InTASC 9</w:t>
            </w:r>
          </w:p>
        </w:tc>
        <w:tc>
          <w:tcPr>
            <w:tcW w:w="1265" w:type="dxa"/>
            <w:tcBorders>
              <w:top w:val="nil"/>
              <w:left w:val="nil"/>
              <w:bottom w:val="nil"/>
              <w:right w:val="nil"/>
            </w:tcBorders>
            <w:shd w:val="clear" w:color="auto" w:fill="auto"/>
            <w:noWrap/>
            <w:vAlign w:val="bottom"/>
            <w:hideMark/>
          </w:tcPr>
          <w:p w14:paraId="2FF76286"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12%</w:t>
            </w:r>
          </w:p>
        </w:tc>
        <w:tc>
          <w:tcPr>
            <w:tcW w:w="1145" w:type="dxa"/>
            <w:tcBorders>
              <w:top w:val="nil"/>
              <w:left w:val="nil"/>
              <w:bottom w:val="nil"/>
              <w:right w:val="nil"/>
            </w:tcBorders>
            <w:shd w:val="clear" w:color="auto" w:fill="auto"/>
            <w:noWrap/>
            <w:vAlign w:val="bottom"/>
            <w:hideMark/>
          </w:tcPr>
          <w:p w14:paraId="408B8812"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78%</w:t>
            </w:r>
          </w:p>
        </w:tc>
        <w:tc>
          <w:tcPr>
            <w:tcW w:w="1281" w:type="dxa"/>
            <w:tcBorders>
              <w:top w:val="nil"/>
              <w:left w:val="nil"/>
              <w:bottom w:val="nil"/>
              <w:right w:val="nil"/>
            </w:tcBorders>
            <w:shd w:val="clear" w:color="auto" w:fill="auto"/>
            <w:noWrap/>
            <w:vAlign w:val="bottom"/>
            <w:hideMark/>
          </w:tcPr>
          <w:p w14:paraId="43EFF444"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10%</w:t>
            </w:r>
          </w:p>
        </w:tc>
        <w:tc>
          <w:tcPr>
            <w:tcW w:w="3733" w:type="dxa"/>
            <w:tcBorders>
              <w:top w:val="nil"/>
              <w:left w:val="nil"/>
              <w:bottom w:val="nil"/>
              <w:right w:val="nil"/>
            </w:tcBorders>
            <w:shd w:val="clear" w:color="auto" w:fill="auto"/>
            <w:noWrap/>
            <w:vAlign w:val="bottom"/>
            <w:hideMark/>
          </w:tcPr>
          <w:p w14:paraId="677AAF11" w14:textId="77777777" w:rsidR="009834C1" w:rsidRPr="004E0914" w:rsidRDefault="009834C1" w:rsidP="004E0914">
            <w:pPr>
              <w:spacing w:after="0" w:line="240" w:lineRule="auto"/>
              <w:rPr>
                <w:rFonts w:eastAsia="Times New Roman"/>
                <w:b/>
                <w:bCs/>
                <w:color w:val="000000"/>
                <w:sz w:val="22"/>
              </w:rPr>
            </w:pPr>
            <w:r w:rsidRPr="004E0914">
              <w:rPr>
                <w:rFonts w:eastAsia="Times New Roman"/>
                <w:b/>
                <w:bCs/>
                <w:color w:val="000000"/>
                <w:sz w:val="22"/>
              </w:rPr>
              <w:t>Professional Learning and Ethics</w:t>
            </w:r>
          </w:p>
        </w:tc>
      </w:tr>
      <w:tr w:rsidR="009834C1" w:rsidRPr="004E0914" w14:paraId="33551A6E" w14:textId="77777777" w:rsidTr="009834C1">
        <w:trPr>
          <w:trHeight w:val="300"/>
        </w:trPr>
        <w:tc>
          <w:tcPr>
            <w:tcW w:w="730" w:type="dxa"/>
            <w:tcBorders>
              <w:top w:val="nil"/>
              <w:left w:val="nil"/>
              <w:bottom w:val="nil"/>
              <w:right w:val="nil"/>
            </w:tcBorders>
            <w:shd w:val="clear" w:color="auto" w:fill="auto"/>
            <w:noWrap/>
            <w:vAlign w:val="bottom"/>
            <w:hideMark/>
          </w:tcPr>
          <w:p w14:paraId="1CA61C3F"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6</w:t>
            </w:r>
          </w:p>
        </w:tc>
        <w:tc>
          <w:tcPr>
            <w:tcW w:w="1302" w:type="dxa"/>
            <w:tcBorders>
              <w:top w:val="nil"/>
              <w:left w:val="nil"/>
              <w:bottom w:val="nil"/>
              <w:right w:val="nil"/>
            </w:tcBorders>
            <w:shd w:val="clear" w:color="auto" w:fill="auto"/>
            <w:noWrap/>
            <w:vAlign w:val="bottom"/>
            <w:hideMark/>
          </w:tcPr>
          <w:p w14:paraId="2B966DBC" w14:textId="77777777" w:rsidR="009834C1" w:rsidRPr="004E0914" w:rsidRDefault="009834C1" w:rsidP="004E0914">
            <w:pPr>
              <w:spacing w:after="0" w:line="240" w:lineRule="auto"/>
              <w:jc w:val="right"/>
              <w:rPr>
                <w:rFonts w:eastAsia="Times New Roman"/>
                <w:b/>
                <w:bCs/>
                <w:color w:val="000000"/>
                <w:sz w:val="22"/>
              </w:rPr>
            </w:pPr>
            <w:r w:rsidRPr="004E0914">
              <w:rPr>
                <w:rFonts w:eastAsia="Times New Roman"/>
                <w:b/>
                <w:bCs/>
                <w:color w:val="000000"/>
                <w:sz w:val="22"/>
              </w:rPr>
              <w:t>InTASC 5</w:t>
            </w:r>
          </w:p>
        </w:tc>
        <w:tc>
          <w:tcPr>
            <w:tcW w:w="1265" w:type="dxa"/>
            <w:tcBorders>
              <w:top w:val="nil"/>
              <w:left w:val="nil"/>
              <w:bottom w:val="nil"/>
              <w:right w:val="nil"/>
            </w:tcBorders>
            <w:shd w:val="clear" w:color="auto" w:fill="auto"/>
            <w:noWrap/>
            <w:vAlign w:val="bottom"/>
            <w:hideMark/>
          </w:tcPr>
          <w:p w14:paraId="44FC9EC3"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14%</w:t>
            </w:r>
          </w:p>
        </w:tc>
        <w:tc>
          <w:tcPr>
            <w:tcW w:w="1145" w:type="dxa"/>
            <w:tcBorders>
              <w:top w:val="nil"/>
              <w:left w:val="nil"/>
              <w:bottom w:val="nil"/>
              <w:right w:val="nil"/>
            </w:tcBorders>
            <w:shd w:val="clear" w:color="auto" w:fill="auto"/>
            <w:noWrap/>
            <w:vAlign w:val="bottom"/>
            <w:hideMark/>
          </w:tcPr>
          <w:p w14:paraId="2A637409"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77%</w:t>
            </w:r>
          </w:p>
        </w:tc>
        <w:tc>
          <w:tcPr>
            <w:tcW w:w="1281" w:type="dxa"/>
            <w:tcBorders>
              <w:top w:val="nil"/>
              <w:left w:val="nil"/>
              <w:bottom w:val="nil"/>
              <w:right w:val="nil"/>
            </w:tcBorders>
            <w:shd w:val="clear" w:color="auto" w:fill="auto"/>
            <w:noWrap/>
            <w:vAlign w:val="bottom"/>
            <w:hideMark/>
          </w:tcPr>
          <w:p w14:paraId="446744E7"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9%</w:t>
            </w:r>
          </w:p>
        </w:tc>
        <w:tc>
          <w:tcPr>
            <w:tcW w:w="3733" w:type="dxa"/>
            <w:tcBorders>
              <w:top w:val="nil"/>
              <w:left w:val="nil"/>
              <w:bottom w:val="nil"/>
              <w:right w:val="nil"/>
            </w:tcBorders>
            <w:shd w:val="clear" w:color="auto" w:fill="auto"/>
            <w:noWrap/>
            <w:vAlign w:val="bottom"/>
            <w:hideMark/>
          </w:tcPr>
          <w:p w14:paraId="48CB1E45" w14:textId="77777777" w:rsidR="009834C1" w:rsidRPr="004E0914" w:rsidRDefault="009834C1" w:rsidP="004E0914">
            <w:pPr>
              <w:spacing w:after="0" w:line="240" w:lineRule="auto"/>
              <w:rPr>
                <w:rFonts w:eastAsia="Times New Roman"/>
                <w:b/>
                <w:bCs/>
                <w:color w:val="000000"/>
                <w:sz w:val="22"/>
              </w:rPr>
            </w:pPr>
            <w:r w:rsidRPr="004E0914">
              <w:rPr>
                <w:rFonts w:eastAsia="Times New Roman"/>
                <w:b/>
                <w:bCs/>
                <w:color w:val="000000"/>
                <w:sz w:val="22"/>
              </w:rPr>
              <w:t>Application of Content</w:t>
            </w:r>
          </w:p>
        </w:tc>
      </w:tr>
      <w:tr w:rsidR="009834C1" w:rsidRPr="004E0914" w14:paraId="35DD65D3" w14:textId="77777777" w:rsidTr="009834C1">
        <w:trPr>
          <w:trHeight w:val="300"/>
        </w:trPr>
        <w:tc>
          <w:tcPr>
            <w:tcW w:w="730" w:type="dxa"/>
            <w:tcBorders>
              <w:top w:val="nil"/>
              <w:left w:val="nil"/>
              <w:bottom w:val="nil"/>
              <w:right w:val="nil"/>
            </w:tcBorders>
            <w:shd w:val="clear" w:color="auto" w:fill="auto"/>
            <w:noWrap/>
            <w:vAlign w:val="bottom"/>
            <w:hideMark/>
          </w:tcPr>
          <w:p w14:paraId="62E3ADDF"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6</w:t>
            </w:r>
          </w:p>
        </w:tc>
        <w:tc>
          <w:tcPr>
            <w:tcW w:w="1302" w:type="dxa"/>
            <w:tcBorders>
              <w:top w:val="nil"/>
              <w:left w:val="nil"/>
              <w:bottom w:val="nil"/>
              <w:right w:val="nil"/>
            </w:tcBorders>
            <w:shd w:val="clear" w:color="auto" w:fill="auto"/>
            <w:noWrap/>
            <w:vAlign w:val="bottom"/>
            <w:hideMark/>
          </w:tcPr>
          <w:p w14:paraId="539241E4" w14:textId="77777777" w:rsidR="009834C1" w:rsidRPr="004E0914" w:rsidRDefault="009834C1" w:rsidP="004E0914">
            <w:pPr>
              <w:spacing w:after="0" w:line="240" w:lineRule="auto"/>
              <w:jc w:val="right"/>
              <w:rPr>
                <w:rFonts w:eastAsia="Times New Roman"/>
                <w:b/>
                <w:bCs/>
                <w:color w:val="000000"/>
                <w:sz w:val="22"/>
              </w:rPr>
            </w:pPr>
            <w:r w:rsidRPr="004E0914">
              <w:rPr>
                <w:rFonts w:eastAsia="Times New Roman"/>
                <w:b/>
                <w:bCs/>
                <w:color w:val="000000"/>
                <w:sz w:val="22"/>
              </w:rPr>
              <w:t>InTASC 6</w:t>
            </w:r>
          </w:p>
        </w:tc>
        <w:tc>
          <w:tcPr>
            <w:tcW w:w="1265" w:type="dxa"/>
            <w:tcBorders>
              <w:top w:val="nil"/>
              <w:left w:val="nil"/>
              <w:bottom w:val="nil"/>
              <w:right w:val="nil"/>
            </w:tcBorders>
            <w:shd w:val="clear" w:color="auto" w:fill="auto"/>
            <w:noWrap/>
            <w:vAlign w:val="bottom"/>
            <w:hideMark/>
          </w:tcPr>
          <w:p w14:paraId="2CF6A7AA"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15%</w:t>
            </w:r>
          </w:p>
        </w:tc>
        <w:tc>
          <w:tcPr>
            <w:tcW w:w="1145" w:type="dxa"/>
            <w:tcBorders>
              <w:top w:val="nil"/>
              <w:left w:val="nil"/>
              <w:bottom w:val="nil"/>
              <w:right w:val="nil"/>
            </w:tcBorders>
            <w:shd w:val="clear" w:color="auto" w:fill="auto"/>
            <w:noWrap/>
            <w:vAlign w:val="bottom"/>
            <w:hideMark/>
          </w:tcPr>
          <w:p w14:paraId="0D8AE473"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77%</w:t>
            </w:r>
          </w:p>
        </w:tc>
        <w:tc>
          <w:tcPr>
            <w:tcW w:w="1281" w:type="dxa"/>
            <w:tcBorders>
              <w:top w:val="nil"/>
              <w:left w:val="nil"/>
              <w:bottom w:val="nil"/>
              <w:right w:val="nil"/>
            </w:tcBorders>
            <w:shd w:val="clear" w:color="auto" w:fill="auto"/>
            <w:noWrap/>
            <w:vAlign w:val="bottom"/>
            <w:hideMark/>
          </w:tcPr>
          <w:p w14:paraId="246AD264"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8%</w:t>
            </w:r>
          </w:p>
        </w:tc>
        <w:tc>
          <w:tcPr>
            <w:tcW w:w="3733" w:type="dxa"/>
            <w:tcBorders>
              <w:top w:val="nil"/>
              <w:left w:val="nil"/>
              <w:bottom w:val="nil"/>
              <w:right w:val="nil"/>
            </w:tcBorders>
            <w:shd w:val="clear" w:color="auto" w:fill="auto"/>
            <w:noWrap/>
            <w:vAlign w:val="bottom"/>
            <w:hideMark/>
          </w:tcPr>
          <w:p w14:paraId="31160C2A" w14:textId="77777777" w:rsidR="009834C1" w:rsidRPr="004E0914" w:rsidRDefault="009834C1" w:rsidP="004E0914">
            <w:pPr>
              <w:spacing w:after="0" w:line="240" w:lineRule="auto"/>
              <w:rPr>
                <w:rFonts w:eastAsia="Times New Roman"/>
                <w:b/>
                <w:bCs/>
                <w:color w:val="000000"/>
                <w:sz w:val="22"/>
              </w:rPr>
            </w:pPr>
            <w:r w:rsidRPr="004E0914">
              <w:rPr>
                <w:rFonts w:eastAsia="Times New Roman"/>
                <w:b/>
                <w:bCs/>
                <w:color w:val="000000"/>
                <w:sz w:val="22"/>
              </w:rPr>
              <w:t>Assessment</w:t>
            </w:r>
          </w:p>
        </w:tc>
      </w:tr>
      <w:tr w:rsidR="009834C1" w:rsidRPr="004E0914" w14:paraId="73289B72" w14:textId="77777777" w:rsidTr="009834C1">
        <w:trPr>
          <w:trHeight w:val="300"/>
        </w:trPr>
        <w:tc>
          <w:tcPr>
            <w:tcW w:w="730" w:type="dxa"/>
            <w:tcBorders>
              <w:top w:val="nil"/>
              <w:left w:val="nil"/>
              <w:bottom w:val="nil"/>
              <w:right w:val="nil"/>
            </w:tcBorders>
            <w:shd w:val="clear" w:color="auto" w:fill="auto"/>
            <w:noWrap/>
            <w:vAlign w:val="bottom"/>
            <w:hideMark/>
          </w:tcPr>
          <w:p w14:paraId="09981CD5"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8</w:t>
            </w:r>
          </w:p>
        </w:tc>
        <w:tc>
          <w:tcPr>
            <w:tcW w:w="1302" w:type="dxa"/>
            <w:tcBorders>
              <w:top w:val="nil"/>
              <w:left w:val="nil"/>
              <w:bottom w:val="nil"/>
              <w:right w:val="nil"/>
            </w:tcBorders>
            <w:shd w:val="clear" w:color="auto" w:fill="auto"/>
            <w:noWrap/>
            <w:vAlign w:val="bottom"/>
            <w:hideMark/>
          </w:tcPr>
          <w:p w14:paraId="2B96CE4E" w14:textId="77777777" w:rsidR="009834C1" w:rsidRPr="004E0914" w:rsidRDefault="009834C1" w:rsidP="004E0914">
            <w:pPr>
              <w:spacing w:after="0" w:line="240" w:lineRule="auto"/>
              <w:jc w:val="right"/>
              <w:rPr>
                <w:rFonts w:eastAsia="Times New Roman"/>
                <w:b/>
                <w:bCs/>
                <w:color w:val="000000"/>
                <w:sz w:val="22"/>
              </w:rPr>
            </w:pPr>
            <w:r w:rsidRPr="004E0914">
              <w:rPr>
                <w:rFonts w:eastAsia="Times New Roman"/>
                <w:b/>
                <w:bCs/>
                <w:color w:val="000000"/>
                <w:sz w:val="22"/>
              </w:rPr>
              <w:t>InTASC 8</w:t>
            </w:r>
          </w:p>
        </w:tc>
        <w:tc>
          <w:tcPr>
            <w:tcW w:w="1265" w:type="dxa"/>
            <w:tcBorders>
              <w:top w:val="nil"/>
              <w:left w:val="nil"/>
              <w:bottom w:val="nil"/>
              <w:right w:val="nil"/>
            </w:tcBorders>
            <w:shd w:val="clear" w:color="auto" w:fill="auto"/>
            <w:noWrap/>
            <w:vAlign w:val="bottom"/>
            <w:hideMark/>
          </w:tcPr>
          <w:p w14:paraId="53753F48"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16%</w:t>
            </w:r>
          </w:p>
        </w:tc>
        <w:tc>
          <w:tcPr>
            <w:tcW w:w="1145" w:type="dxa"/>
            <w:tcBorders>
              <w:top w:val="nil"/>
              <w:left w:val="nil"/>
              <w:bottom w:val="nil"/>
              <w:right w:val="nil"/>
            </w:tcBorders>
            <w:shd w:val="clear" w:color="auto" w:fill="auto"/>
            <w:noWrap/>
            <w:vAlign w:val="bottom"/>
            <w:hideMark/>
          </w:tcPr>
          <w:p w14:paraId="540988CB"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75%</w:t>
            </w:r>
          </w:p>
        </w:tc>
        <w:tc>
          <w:tcPr>
            <w:tcW w:w="1281" w:type="dxa"/>
            <w:tcBorders>
              <w:top w:val="nil"/>
              <w:left w:val="nil"/>
              <w:bottom w:val="nil"/>
              <w:right w:val="nil"/>
            </w:tcBorders>
            <w:shd w:val="clear" w:color="auto" w:fill="auto"/>
            <w:noWrap/>
            <w:vAlign w:val="bottom"/>
            <w:hideMark/>
          </w:tcPr>
          <w:p w14:paraId="0CD1B335"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9%</w:t>
            </w:r>
          </w:p>
        </w:tc>
        <w:tc>
          <w:tcPr>
            <w:tcW w:w="3733" w:type="dxa"/>
            <w:tcBorders>
              <w:top w:val="nil"/>
              <w:left w:val="nil"/>
              <w:bottom w:val="nil"/>
              <w:right w:val="nil"/>
            </w:tcBorders>
            <w:shd w:val="clear" w:color="auto" w:fill="auto"/>
            <w:noWrap/>
            <w:vAlign w:val="bottom"/>
            <w:hideMark/>
          </w:tcPr>
          <w:p w14:paraId="63D4BB76" w14:textId="77777777" w:rsidR="009834C1" w:rsidRPr="004E0914" w:rsidRDefault="009834C1" w:rsidP="004E0914">
            <w:pPr>
              <w:spacing w:after="0" w:line="240" w:lineRule="auto"/>
              <w:rPr>
                <w:rFonts w:eastAsia="Times New Roman"/>
                <w:b/>
                <w:bCs/>
                <w:color w:val="000000"/>
                <w:sz w:val="22"/>
              </w:rPr>
            </w:pPr>
            <w:r w:rsidRPr="004E0914">
              <w:rPr>
                <w:rFonts w:eastAsia="Times New Roman"/>
                <w:b/>
                <w:bCs/>
                <w:color w:val="000000"/>
                <w:sz w:val="22"/>
              </w:rPr>
              <w:t>Instructional Strategies</w:t>
            </w:r>
          </w:p>
        </w:tc>
      </w:tr>
      <w:tr w:rsidR="009834C1" w:rsidRPr="004E0914" w14:paraId="3D84C2D0" w14:textId="77777777" w:rsidTr="009834C1">
        <w:trPr>
          <w:trHeight w:val="300"/>
        </w:trPr>
        <w:tc>
          <w:tcPr>
            <w:tcW w:w="730" w:type="dxa"/>
            <w:tcBorders>
              <w:top w:val="nil"/>
              <w:left w:val="nil"/>
              <w:bottom w:val="nil"/>
              <w:right w:val="nil"/>
            </w:tcBorders>
            <w:shd w:val="clear" w:color="auto" w:fill="auto"/>
            <w:noWrap/>
            <w:vAlign w:val="bottom"/>
            <w:hideMark/>
          </w:tcPr>
          <w:p w14:paraId="77E04EBC"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8</w:t>
            </w:r>
          </w:p>
        </w:tc>
        <w:tc>
          <w:tcPr>
            <w:tcW w:w="1302" w:type="dxa"/>
            <w:tcBorders>
              <w:top w:val="nil"/>
              <w:left w:val="nil"/>
              <w:bottom w:val="nil"/>
              <w:right w:val="nil"/>
            </w:tcBorders>
            <w:shd w:val="clear" w:color="auto" w:fill="auto"/>
            <w:noWrap/>
            <w:vAlign w:val="bottom"/>
            <w:hideMark/>
          </w:tcPr>
          <w:p w14:paraId="733978E8" w14:textId="77777777" w:rsidR="009834C1" w:rsidRPr="004E0914" w:rsidRDefault="009834C1" w:rsidP="004E0914">
            <w:pPr>
              <w:spacing w:after="0" w:line="240" w:lineRule="auto"/>
              <w:jc w:val="right"/>
              <w:rPr>
                <w:rFonts w:eastAsia="Times New Roman"/>
                <w:b/>
                <w:bCs/>
                <w:color w:val="000000"/>
                <w:sz w:val="22"/>
              </w:rPr>
            </w:pPr>
            <w:r w:rsidRPr="004E0914">
              <w:rPr>
                <w:rFonts w:eastAsia="Times New Roman"/>
                <w:b/>
                <w:bCs/>
                <w:color w:val="000000"/>
                <w:sz w:val="22"/>
              </w:rPr>
              <w:t>InTASC 10</w:t>
            </w:r>
          </w:p>
        </w:tc>
        <w:tc>
          <w:tcPr>
            <w:tcW w:w="1265" w:type="dxa"/>
            <w:tcBorders>
              <w:top w:val="nil"/>
              <w:left w:val="nil"/>
              <w:bottom w:val="nil"/>
              <w:right w:val="nil"/>
            </w:tcBorders>
            <w:shd w:val="clear" w:color="auto" w:fill="auto"/>
            <w:noWrap/>
            <w:vAlign w:val="bottom"/>
            <w:hideMark/>
          </w:tcPr>
          <w:p w14:paraId="7EE04ACC"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10%</w:t>
            </w:r>
          </w:p>
        </w:tc>
        <w:tc>
          <w:tcPr>
            <w:tcW w:w="1145" w:type="dxa"/>
            <w:tcBorders>
              <w:top w:val="nil"/>
              <w:left w:val="nil"/>
              <w:bottom w:val="nil"/>
              <w:right w:val="nil"/>
            </w:tcBorders>
            <w:shd w:val="clear" w:color="auto" w:fill="auto"/>
            <w:noWrap/>
            <w:vAlign w:val="bottom"/>
            <w:hideMark/>
          </w:tcPr>
          <w:p w14:paraId="7DA27150"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75%</w:t>
            </w:r>
          </w:p>
        </w:tc>
        <w:tc>
          <w:tcPr>
            <w:tcW w:w="1281" w:type="dxa"/>
            <w:tcBorders>
              <w:top w:val="nil"/>
              <w:left w:val="nil"/>
              <w:bottom w:val="nil"/>
              <w:right w:val="nil"/>
            </w:tcBorders>
            <w:shd w:val="clear" w:color="auto" w:fill="auto"/>
            <w:noWrap/>
            <w:vAlign w:val="bottom"/>
            <w:hideMark/>
          </w:tcPr>
          <w:p w14:paraId="5BE1F7FB"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15%</w:t>
            </w:r>
          </w:p>
        </w:tc>
        <w:tc>
          <w:tcPr>
            <w:tcW w:w="3733" w:type="dxa"/>
            <w:tcBorders>
              <w:top w:val="nil"/>
              <w:left w:val="nil"/>
              <w:bottom w:val="nil"/>
              <w:right w:val="nil"/>
            </w:tcBorders>
            <w:shd w:val="clear" w:color="auto" w:fill="auto"/>
            <w:noWrap/>
            <w:vAlign w:val="bottom"/>
            <w:hideMark/>
          </w:tcPr>
          <w:p w14:paraId="06F34402" w14:textId="77777777" w:rsidR="009834C1" w:rsidRPr="004E0914" w:rsidRDefault="009834C1" w:rsidP="004E0914">
            <w:pPr>
              <w:spacing w:after="0" w:line="240" w:lineRule="auto"/>
              <w:rPr>
                <w:rFonts w:eastAsia="Times New Roman"/>
                <w:b/>
                <w:bCs/>
                <w:color w:val="000000"/>
                <w:sz w:val="22"/>
              </w:rPr>
            </w:pPr>
            <w:r w:rsidRPr="004E0914">
              <w:rPr>
                <w:rFonts w:eastAsia="Times New Roman"/>
                <w:b/>
                <w:bCs/>
                <w:color w:val="000000"/>
                <w:sz w:val="22"/>
              </w:rPr>
              <w:t>Leadership and Collaboration</w:t>
            </w:r>
          </w:p>
        </w:tc>
      </w:tr>
      <w:tr w:rsidR="009834C1" w:rsidRPr="004E0914" w14:paraId="745FB9AC" w14:textId="77777777" w:rsidTr="009834C1">
        <w:trPr>
          <w:trHeight w:val="300"/>
        </w:trPr>
        <w:tc>
          <w:tcPr>
            <w:tcW w:w="730" w:type="dxa"/>
            <w:tcBorders>
              <w:top w:val="nil"/>
              <w:left w:val="nil"/>
              <w:bottom w:val="single" w:sz="4" w:space="0" w:color="auto"/>
              <w:right w:val="nil"/>
            </w:tcBorders>
            <w:shd w:val="clear" w:color="auto" w:fill="auto"/>
            <w:noWrap/>
            <w:vAlign w:val="bottom"/>
            <w:hideMark/>
          </w:tcPr>
          <w:p w14:paraId="29328758"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10</w:t>
            </w:r>
          </w:p>
        </w:tc>
        <w:tc>
          <w:tcPr>
            <w:tcW w:w="1302" w:type="dxa"/>
            <w:tcBorders>
              <w:top w:val="nil"/>
              <w:left w:val="nil"/>
              <w:bottom w:val="single" w:sz="4" w:space="0" w:color="auto"/>
              <w:right w:val="nil"/>
            </w:tcBorders>
            <w:shd w:val="clear" w:color="auto" w:fill="auto"/>
            <w:noWrap/>
            <w:vAlign w:val="bottom"/>
            <w:hideMark/>
          </w:tcPr>
          <w:p w14:paraId="127F1662" w14:textId="77777777" w:rsidR="009834C1" w:rsidRPr="004E0914" w:rsidRDefault="009834C1" w:rsidP="004E0914">
            <w:pPr>
              <w:spacing w:after="0" w:line="240" w:lineRule="auto"/>
              <w:jc w:val="right"/>
              <w:rPr>
                <w:rFonts w:eastAsia="Times New Roman"/>
                <w:b/>
                <w:bCs/>
                <w:color w:val="000000"/>
                <w:sz w:val="22"/>
              </w:rPr>
            </w:pPr>
            <w:r w:rsidRPr="004E0914">
              <w:rPr>
                <w:rFonts w:eastAsia="Times New Roman"/>
                <w:b/>
                <w:bCs/>
                <w:color w:val="000000"/>
                <w:sz w:val="22"/>
              </w:rPr>
              <w:t>InTASC 3</w:t>
            </w:r>
          </w:p>
        </w:tc>
        <w:tc>
          <w:tcPr>
            <w:tcW w:w="1265" w:type="dxa"/>
            <w:tcBorders>
              <w:top w:val="nil"/>
              <w:left w:val="nil"/>
              <w:bottom w:val="single" w:sz="4" w:space="0" w:color="auto"/>
              <w:right w:val="nil"/>
            </w:tcBorders>
            <w:shd w:val="clear" w:color="auto" w:fill="auto"/>
            <w:noWrap/>
            <w:vAlign w:val="bottom"/>
            <w:hideMark/>
          </w:tcPr>
          <w:p w14:paraId="308A7828"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21%</w:t>
            </w:r>
          </w:p>
        </w:tc>
        <w:tc>
          <w:tcPr>
            <w:tcW w:w="1145" w:type="dxa"/>
            <w:tcBorders>
              <w:top w:val="nil"/>
              <w:left w:val="nil"/>
              <w:bottom w:val="single" w:sz="4" w:space="0" w:color="auto"/>
              <w:right w:val="nil"/>
            </w:tcBorders>
            <w:shd w:val="clear" w:color="auto" w:fill="auto"/>
            <w:noWrap/>
            <w:vAlign w:val="bottom"/>
            <w:hideMark/>
          </w:tcPr>
          <w:p w14:paraId="4B30661B" w14:textId="77777777" w:rsidR="009834C1" w:rsidRPr="004E0914" w:rsidRDefault="009834C1" w:rsidP="004E0914">
            <w:pPr>
              <w:spacing w:after="0" w:line="240" w:lineRule="auto"/>
              <w:jc w:val="center"/>
              <w:rPr>
                <w:rFonts w:eastAsia="Times New Roman"/>
                <w:b/>
                <w:bCs/>
                <w:color w:val="000000"/>
                <w:sz w:val="22"/>
              </w:rPr>
            </w:pPr>
            <w:r w:rsidRPr="004E0914">
              <w:rPr>
                <w:rFonts w:eastAsia="Times New Roman"/>
                <w:b/>
                <w:bCs/>
                <w:color w:val="000000"/>
                <w:sz w:val="22"/>
              </w:rPr>
              <w:t>56%</w:t>
            </w:r>
          </w:p>
        </w:tc>
        <w:tc>
          <w:tcPr>
            <w:tcW w:w="1281" w:type="dxa"/>
            <w:tcBorders>
              <w:top w:val="nil"/>
              <w:left w:val="nil"/>
              <w:bottom w:val="single" w:sz="4" w:space="0" w:color="auto"/>
              <w:right w:val="nil"/>
            </w:tcBorders>
            <w:shd w:val="clear" w:color="auto" w:fill="auto"/>
            <w:noWrap/>
            <w:vAlign w:val="bottom"/>
            <w:hideMark/>
          </w:tcPr>
          <w:p w14:paraId="1AC9EFE7" w14:textId="77777777" w:rsidR="009834C1" w:rsidRPr="004E0914" w:rsidRDefault="009834C1" w:rsidP="004E0914">
            <w:pPr>
              <w:spacing w:after="0" w:line="240" w:lineRule="auto"/>
              <w:jc w:val="center"/>
              <w:rPr>
                <w:rFonts w:eastAsia="Times New Roman"/>
                <w:color w:val="000000"/>
                <w:sz w:val="22"/>
              </w:rPr>
            </w:pPr>
            <w:r w:rsidRPr="004E0914">
              <w:rPr>
                <w:rFonts w:eastAsia="Times New Roman"/>
                <w:color w:val="000000"/>
                <w:sz w:val="22"/>
              </w:rPr>
              <w:t>23%</w:t>
            </w:r>
          </w:p>
        </w:tc>
        <w:tc>
          <w:tcPr>
            <w:tcW w:w="3733" w:type="dxa"/>
            <w:tcBorders>
              <w:top w:val="nil"/>
              <w:left w:val="nil"/>
              <w:bottom w:val="single" w:sz="4" w:space="0" w:color="auto"/>
              <w:right w:val="nil"/>
            </w:tcBorders>
            <w:shd w:val="clear" w:color="auto" w:fill="auto"/>
            <w:noWrap/>
            <w:vAlign w:val="bottom"/>
            <w:hideMark/>
          </w:tcPr>
          <w:p w14:paraId="50053F71" w14:textId="77777777" w:rsidR="009834C1" w:rsidRPr="004E0914" w:rsidRDefault="009834C1" w:rsidP="004E0914">
            <w:pPr>
              <w:spacing w:after="0" w:line="240" w:lineRule="auto"/>
              <w:rPr>
                <w:rFonts w:eastAsia="Times New Roman"/>
                <w:b/>
                <w:bCs/>
                <w:color w:val="000000"/>
                <w:sz w:val="22"/>
              </w:rPr>
            </w:pPr>
            <w:r w:rsidRPr="004E0914">
              <w:rPr>
                <w:rFonts w:eastAsia="Times New Roman"/>
                <w:b/>
                <w:bCs/>
                <w:color w:val="000000"/>
                <w:sz w:val="22"/>
              </w:rPr>
              <w:t>Learning Environment</w:t>
            </w:r>
          </w:p>
        </w:tc>
      </w:tr>
    </w:tbl>
    <w:p w14:paraId="176303B5" w14:textId="77777777" w:rsidR="001F2325" w:rsidRDefault="009834C1" w:rsidP="005A50DE">
      <w:r>
        <w:t xml:space="preserve">The rank on the left </w:t>
      </w:r>
      <w:r w:rsidR="001F2325">
        <w:t xml:space="preserve">regarding Table 4 </w:t>
      </w:r>
      <w:r>
        <w:t xml:space="preserve">is determined by the rank of the qualifier in bold print.  This results in the InTASC Standards’ descriptors changing as its rank changes.  </w:t>
      </w:r>
      <w:r w:rsidR="004E5DA1">
        <w:t xml:space="preserve">As can be seen above, Table 4 shows the rank of each InTASC standard from the highest Exemplary percentage of response to lowest.  Table 5 does the same thing for the Proficient responses.  There as some interesting findings in observing these two tables.  </w:t>
      </w:r>
    </w:p>
    <w:p w14:paraId="4C91F2EC" w14:textId="77777777" w:rsidR="001F2325" w:rsidRPr="001F2325" w:rsidRDefault="004E5DA1" w:rsidP="005A50DE">
      <w:pPr>
        <w:rPr>
          <w:sz w:val="16"/>
          <w:szCs w:val="16"/>
        </w:rPr>
      </w:pPr>
      <w:r>
        <w:t>For example, InTASC Standard 3 had the highest percentage of Exemplary responses, 21%, which is quite remarkable; however it had the lowest or 10</w:t>
      </w:r>
      <w:r w:rsidRPr="004E5DA1">
        <w:rPr>
          <w:vertAlign w:val="superscript"/>
        </w:rPr>
        <w:t>th</w:t>
      </w:r>
      <w:r>
        <w:t xml:space="preserve"> ranked level of responses for Proficient.  That might be explained by having such a high percentage of respondents in Exemplary, so Table 6 was developed </w:t>
      </w:r>
      <w:r>
        <w:lastRenderedPageBreak/>
        <w:t>to see what the rankings are for Developing.</w:t>
      </w:r>
      <w:r w:rsidR="0091707E">
        <w:t xml:space="preserve"> </w:t>
      </w:r>
      <w:r w:rsidR="009834C1">
        <w:t xml:space="preserve">In Tables 4 and 5, a high percentage in Exemplary and Proficient </w:t>
      </w:r>
      <w:r w:rsidR="00F13BF5">
        <w:t xml:space="preserve">categories </w:t>
      </w:r>
      <w:r w:rsidR="009834C1">
        <w:t>was the desired outcome; however, in Table 6, the desired outcome is to have a low percentage in Developing so in this Table, a lowest percentage is ranked first and the highest percentage of Developing ratings is ranked 10</w:t>
      </w:r>
      <w:r w:rsidR="009834C1" w:rsidRPr="009834C1">
        <w:rPr>
          <w:vertAlign w:val="superscript"/>
        </w:rPr>
        <w:t>th</w:t>
      </w:r>
      <w:r w:rsidR="009834C1">
        <w:t>.</w:t>
      </w:r>
    </w:p>
    <w:tbl>
      <w:tblPr>
        <w:tblW w:w="9360" w:type="dxa"/>
        <w:tblInd w:w="93" w:type="dxa"/>
        <w:tblLook w:val="04A0" w:firstRow="1" w:lastRow="0" w:firstColumn="1" w:lastColumn="0" w:noHBand="0" w:noVBand="1"/>
      </w:tblPr>
      <w:tblGrid>
        <w:gridCol w:w="730"/>
        <w:gridCol w:w="1324"/>
        <w:gridCol w:w="1199"/>
        <w:gridCol w:w="1084"/>
        <w:gridCol w:w="1303"/>
        <w:gridCol w:w="3797"/>
      </w:tblGrid>
      <w:tr w:rsidR="0091707E" w:rsidRPr="0091707E" w14:paraId="0F3FFF85" w14:textId="77777777" w:rsidTr="0091707E">
        <w:trPr>
          <w:trHeight w:val="300"/>
        </w:trPr>
        <w:tc>
          <w:tcPr>
            <w:tcW w:w="9360" w:type="dxa"/>
            <w:gridSpan w:val="6"/>
            <w:tcBorders>
              <w:top w:val="single" w:sz="4" w:space="0" w:color="auto"/>
              <w:left w:val="nil"/>
              <w:bottom w:val="single" w:sz="4" w:space="0" w:color="auto"/>
              <w:right w:val="nil"/>
            </w:tcBorders>
            <w:shd w:val="clear" w:color="auto" w:fill="auto"/>
            <w:noWrap/>
            <w:vAlign w:val="center"/>
            <w:hideMark/>
          </w:tcPr>
          <w:p w14:paraId="16211C1B" w14:textId="77777777" w:rsidR="0091707E" w:rsidRPr="0091707E" w:rsidRDefault="004F10BC" w:rsidP="00290AD3">
            <w:pPr>
              <w:pStyle w:val="Caption"/>
              <w:keepNext/>
              <w:rPr>
                <w:rFonts w:eastAsia="Times New Roman"/>
                <w:color w:val="000000"/>
                <w:sz w:val="26"/>
                <w:szCs w:val="26"/>
              </w:rPr>
            </w:pPr>
            <w:bookmarkStart w:id="24" w:name="_Toc492828028"/>
            <w:r w:rsidRPr="004F10BC">
              <w:rPr>
                <w:color w:val="000000" w:themeColor="text1"/>
                <w:sz w:val="26"/>
                <w:szCs w:val="26"/>
              </w:rPr>
              <w:t xml:space="preserve">Table </w:t>
            </w:r>
            <w:r w:rsidRPr="004F10BC">
              <w:rPr>
                <w:color w:val="000000" w:themeColor="text1"/>
                <w:sz w:val="26"/>
                <w:szCs w:val="26"/>
              </w:rPr>
              <w:fldChar w:fldCharType="begin"/>
            </w:r>
            <w:r w:rsidRPr="004F10BC">
              <w:rPr>
                <w:color w:val="000000" w:themeColor="text1"/>
                <w:sz w:val="26"/>
                <w:szCs w:val="26"/>
              </w:rPr>
              <w:instrText xml:space="preserve"> SEQ Table \* ARABIC </w:instrText>
            </w:r>
            <w:r w:rsidRPr="004F10BC">
              <w:rPr>
                <w:color w:val="000000" w:themeColor="text1"/>
                <w:sz w:val="26"/>
                <w:szCs w:val="26"/>
              </w:rPr>
              <w:fldChar w:fldCharType="separate"/>
            </w:r>
            <w:r w:rsidR="0010294F">
              <w:rPr>
                <w:noProof/>
                <w:color w:val="000000" w:themeColor="text1"/>
                <w:sz w:val="26"/>
                <w:szCs w:val="26"/>
              </w:rPr>
              <w:t>6</w:t>
            </w:r>
            <w:r w:rsidRPr="004F10BC">
              <w:rPr>
                <w:color w:val="000000" w:themeColor="text1"/>
                <w:sz w:val="26"/>
                <w:szCs w:val="26"/>
              </w:rPr>
              <w:fldChar w:fldCharType="end"/>
            </w:r>
            <w:r w:rsidR="0091707E" w:rsidRPr="0091707E">
              <w:rPr>
                <w:rFonts w:eastAsia="Times New Roman"/>
                <w:color w:val="000000" w:themeColor="text1"/>
                <w:sz w:val="26"/>
                <w:szCs w:val="26"/>
              </w:rPr>
              <w:t xml:space="preserve">: </w:t>
            </w:r>
            <w:r w:rsidR="0091707E" w:rsidRPr="0091707E">
              <w:rPr>
                <w:rFonts w:eastAsia="Times New Roman"/>
                <w:color w:val="000000"/>
                <w:sz w:val="26"/>
                <w:szCs w:val="26"/>
              </w:rPr>
              <w:t>Rank of InTASC Standards by Developing Frequency</w:t>
            </w:r>
            <w:bookmarkEnd w:id="24"/>
          </w:p>
        </w:tc>
      </w:tr>
      <w:tr w:rsidR="0091707E" w:rsidRPr="0091707E" w14:paraId="53D262A2" w14:textId="77777777" w:rsidTr="0091707E">
        <w:trPr>
          <w:trHeight w:val="300"/>
        </w:trPr>
        <w:tc>
          <w:tcPr>
            <w:tcW w:w="656" w:type="dxa"/>
            <w:tcBorders>
              <w:top w:val="nil"/>
              <w:left w:val="nil"/>
              <w:bottom w:val="nil"/>
              <w:right w:val="nil"/>
            </w:tcBorders>
            <w:shd w:val="clear" w:color="auto" w:fill="auto"/>
            <w:noWrap/>
            <w:vAlign w:val="bottom"/>
            <w:hideMark/>
          </w:tcPr>
          <w:p w14:paraId="253A3E46"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Rank</w:t>
            </w:r>
          </w:p>
        </w:tc>
        <w:tc>
          <w:tcPr>
            <w:tcW w:w="1324" w:type="dxa"/>
            <w:tcBorders>
              <w:top w:val="nil"/>
              <w:left w:val="nil"/>
              <w:bottom w:val="nil"/>
              <w:right w:val="nil"/>
            </w:tcBorders>
            <w:shd w:val="clear" w:color="auto" w:fill="auto"/>
            <w:noWrap/>
            <w:vAlign w:val="bottom"/>
            <w:hideMark/>
          </w:tcPr>
          <w:p w14:paraId="4673DCAB"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Standard</w:t>
            </w:r>
          </w:p>
        </w:tc>
        <w:tc>
          <w:tcPr>
            <w:tcW w:w="1199" w:type="dxa"/>
            <w:tcBorders>
              <w:top w:val="nil"/>
              <w:left w:val="nil"/>
              <w:bottom w:val="nil"/>
              <w:right w:val="nil"/>
            </w:tcBorders>
            <w:shd w:val="clear" w:color="auto" w:fill="auto"/>
            <w:noWrap/>
            <w:vAlign w:val="bottom"/>
            <w:hideMark/>
          </w:tcPr>
          <w:p w14:paraId="65E572C5" w14:textId="77777777" w:rsidR="0091707E" w:rsidRPr="0091707E" w:rsidRDefault="0091707E" w:rsidP="0091707E">
            <w:pPr>
              <w:spacing w:before="0" w:after="0" w:line="240" w:lineRule="auto"/>
              <w:rPr>
                <w:rFonts w:eastAsia="Times New Roman"/>
                <w:color w:val="000000"/>
                <w:sz w:val="22"/>
              </w:rPr>
            </w:pPr>
            <w:r w:rsidRPr="0091707E">
              <w:rPr>
                <w:rFonts w:eastAsia="Times New Roman"/>
                <w:color w:val="000000"/>
                <w:sz w:val="22"/>
              </w:rPr>
              <w:t>Exemplary</w:t>
            </w:r>
          </w:p>
        </w:tc>
        <w:tc>
          <w:tcPr>
            <w:tcW w:w="1081" w:type="dxa"/>
            <w:tcBorders>
              <w:top w:val="nil"/>
              <w:left w:val="nil"/>
              <w:bottom w:val="nil"/>
              <w:right w:val="nil"/>
            </w:tcBorders>
            <w:shd w:val="clear" w:color="auto" w:fill="auto"/>
            <w:noWrap/>
            <w:vAlign w:val="bottom"/>
            <w:hideMark/>
          </w:tcPr>
          <w:p w14:paraId="2E70E9ED" w14:textId="77777777" w:rsidR="0091707E" w:rsidRPr="0091707E" w:rsidRDefault="0091707E" w:rsidP="0091707E">
            <w:pPr>
              <w:spacing w:before="0" w:after="0" w:line="240" w:lineRule="auto"/>
              <w:rPr>
                <w:rFonts w:eastAsia="Times New Roman"/>
                <w:color w:val="000000"/>
                <w:sz w:val="22"/>
              </w:rPr>
            </w:pPr>
            <w:r w:rsidRPr="0091707E">
              <w:rPr>
                <w:rFonts w:eastAsia="Times New Roman"/>
                <w:color w:val="000000"/>
                <w:sz w:val="22"/>
              </w:rPr>
              <w:t>Proficient</w:t>
            </w:r>
          </w:p>
        </w:tc>
        <w:tc>
          <w:tcPr>
            <w:tcW w:w="1303" w:type="dxa"/>
            <w:tcBorders>
              <w:top w:val="nil"/>
              <w:left w:val="nil"/>
              <w:bottom w:val="nil"/>
              <w:right w:val="nil"/>
            </w:tcBorders>
            <w:shd w:val="clear" w:color="auto" w:fill="auto"/>
            <w:noWrap/>
            <w:vAlign w:val="bottom"/>
            <w:hideMark/>
          </w:tcPr>
          <w:p w14:paraId="3CCAF454" w14:textId="77777777" w:rsidR="0091707E" w:rsidRPr="0091707E" w:rsidRDefault="0091707E" w:rsidP="0091707E">
            <w:pPr>
              <w:spacing w:before="0" w:after="0" w:line="240" w:lineRule="auto"/>
              <w:rPr>
                <w:rFonts w:eastAsia="Times New Roman"/>
                <w:b/>
                <w:bCs/>
                <w:color w:val="000000"/>
                <w:sz w:val="22"/>
              </w:rPr>
            </w:pPr>
            <w:r w:rsidRPr="0091707E">
              <w:rPr>
                <w:rFonts w:eastAsia="Times New Roman"/>
                <w:b/>
                <w:bCs/>
                <w:color w:val="000000"/>
                <w:sz w:val="22"/>
              </w:rPr>
              <w:t>Developing</w:t>
            </w:r>
          </w:p>
        </w:tc>
        <w:tc>
          <w:tcPr>
            <w:tcW w:w="3797" w:type="dxa"/>
            <w:tcBorders>
              <w:top w:val="nil"/>
              <w:left w:val="nil"/>
              <w:bottom w:val="nil"/>
              <w:right w:val="nil"/>
            </w:tcBorders>
            <w:shd w:val="clear" w:color="auto" w:fill="auto"/>
            <w:noWrap/>
            <w:vAlign w:val="bottom"/>
            <w:hideMark/>
          </w:tcPr>
          <w:p w14:paraId="510BFC14" w14:textId="77777777" w:rsidR="0091707E" w:rsidRPr="0091707E" w:rsidRDefault="0091707E" w:rsidP="0091707E">
            <w:pPr>
              <w:spacing w:before="0" w:after="0" w:line="240" w:lineRule="auto"/>
              <w:rPr>
                <w:rFonts w:eastAsia="Times New Roman"/>
                <w:color w:val="000000"/>
                <w:sz w:val="22"/>
              </w:rPr>
            </w:pPr>
          </w:p>
        </w:tc>
      </w:tr>
      <w:tr w:rsidR="0091707E" w:rsidRPr="0091707E" w14:paraId="5AE08328" w14:textId="77777777" w:rsidTr="0091707E">
        <w:trPr>
          <w:trHeight w:val="300"/>
        </w:trPr>
        <w:tc>
          <w:tcPr>
            <w:tcW w:w="656" w:type="dxa"/>
            <w:tcBorders>
              <w:top w:val="single" w:sz="4" w:space="0" w:color="auto"/>
              <w:left w:val="nil"/>
              <w:bottom w:val="nil"/>
              <w:right w:val="nil"/>
            </w:tcBorders>
            <w:shd w:val="clear" w:color="auto" w:fill="auto"/>
            <w:noWrap/>
            <w:vAlign w:val="bottom"/>
            <w:hideMark/>
          </w:tcPr>
          <w:p w14:paraId="491EB2BF"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1</w:t>
            </w:r>
          </w:p>
        </w:tc>
        <w:tc>
          <w:tcPr>
            <w:tcW w:w="1324" w:type="dxa"/>
            <w:tcBorders>
              <w:top w:val="single" w:sz="4" w:space="0" w:color="auto"/>
              <w:left w:val="nil"/>
              <w:bottom w:val="nil"/>
              <w:right w:val="nil"/>
            </w:tcBorders>
            <w:shd w:val="clear" w:color="auto" w:fill="auto"/>
            <w:noWrap/>
            <w:vAlign w:val="bottom"/>
            <w:hideMark/>
          </w:tcPr>
          <w:p w14:paraId="39BC37AF" w14:textId="77777777" w:rsidR="0091707E" w:rsidRPr="0091707E" w:rsidRDefault="0091707E" w:rsidP="0091707E">
            <w:pPr>
              <w:spacing w:before="0" w:after="0" w:line="240" w:lineRule="auto"/>
              <w:jc w:val="right"/>
              <w:rPr>
                <w:rFonts w:eastAsia="Times New Roman"/>
                <w:b/>
                <w:bCs/>
                <w:color w:val="000000"/>
                <w:sz w:val="22"/>
              </w:rPr>
            </w:pPr>
            <w:r w:rsidRPr="0091707E">
              <w:rPr>
                <w:rFonts w:eastAsia="Times New Roman"/>
                <w:b/>
                <w:bCs/>
                <w:color w:val="000000"/>
                <w:sz w:val="22"/>
              </w:rPr>
              <w:t>InTASC 2</w:t>
            </w:r>
          </w:p>
        </w:tc>
        <w:tc>
          <w:tcPr>
            <w:tcW w:w="1199" w:type="dxa"/>
            <w:tcBorders>
              <w:top w:val="single" w:sz="4" w:space="0" w:color="auto"/>
              <w:left w:val="nil"/>
              <w:bottom w:val="nil"/>
              <w:right w:val="nil"/>
            </w:tcBorders>
            <w:shd w:val="clear" w:color="auto" w:fill="auto"/>
            <w:noWrap/>
            <w:vAlign w:val="bottom"/>
            <w:hideMark/>
          </w:tcPr>
          <w:p w14:paraId="04B0F671"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11%</w:t>
            </w:r>
          </w:p>
        </w:tc>
        <w:tc>
          <w:tcPr>
            <w:tcW w:w="1081" w:type="dxa"/>
            <w:tcBorders>
              <w:top w:val="single" w:sz="4" w:space="0" w:color="auto"/>
              <w:left w:val="nil"/>
              <w:bottom w:val="nil"/>
              <w:right w:val="nil"/>
            </w:tcBorders>
            <w:shd w:val="clear" w:color="auto" w:fill="auto"/>
            <w:noWrap/>
            <w:vAlign w:val="bottom"/>
            <w:hideMark/>
          </w:tcPr>
          <w:p w14:paraId="13EAF391"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84%</w:t>
            </w:r>
          </w:p>
        </w:tc>
        <w:tc>
          <w:tcPr>
            <w:tcW w:w="1303" w:type="dxa"/>
            <w:tcBorders>
              <w:top w:val="single" w:sz="4" w:space="0" w:color="auto"/>
              <w:left w:val="nil"/>
              <w:bottom w:val="nil"/>
              <w:right w:val="nil"/>
            </w:tcBorders>
            <w:shd w:val="clear" w:color="auto" w:fill="auto"/>
            <w:noWrap/>
            <w:vAlign w:val="bottom"/>
            <w:hideMark/>
          </w:tcPr>
          <w:p w14:paraId="378EC317"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5%</w:t>
            </w:r>
          </w:p>
        </w:tc>
        <w:tc>
          <w:tcPr>
            <w:tcW w:w="3797" w:type="dxa"/>
            <w:tcBorders>
              <w:top w:val="single" w:sz="4" w:space="0" w:color="auto"/>
              <w:left w:val="nil"/>
              <w:bottom w:val="nil"/>
              <w:right w:val="nil"/>
            </w:tcBorders>
            <w:shd w:val="clear" w:color="auto" w:fill="auto"/>
            <w:noWrap/>
            <w:vAlign w:val="bottom"/>
            <w:hideMark/>
          </w:tcPr>
          <w:p w14:paraId="7ADF12C8" w14:textId="77777777" w:rsidR="0091707E" w:rsidRPr="0091707E" w:rsidRDefault="0091707E" w:rsidP="0091707E">
            <w:pPr>
              <w:spacing w:before="0" w:after="0" w:line="240" w:lineRule="auto"/>
              <w:rPr>
                <w:rFonts w:eastAsia="Times New Roman"/>
                <w:b/>
                <w:bCs/>
                <w:color w:val="000000"/>
                <w:sz w:val="22"/>
              </w:rPr>
            </w:pPr>
            <w:r w:rsidRPr="0091707E">
              <w:rPr>
                <w:rFonts w:eastAsia="Times New Roman"/>
                <w:b/>
                <w:bCs/>
                <w:color w:val="000000"/>
                <w:sz w:val="22"/>
              </w:rPr>
              <w:t>Learning Differences</w:t>
            </w:r>
          </w:p>
        </w:tc>
      </w:tr>
      <w:tr w:rsidR="0091707E" w:rsidRPr="0091707E" w14:paraId="7551F009" w14:textId="77777777" w:rsidTr="0091707E">
        <w:trPr>
          <w:trHeight w:val="300"/>
        </w:trPr>
        <w:tc>
          <w:tcPr>
            <w:tcW w:w="656" w:type="dxa"/>
            <w:tcBorders>
              <w:top w:val="nil"/>
              <w:left w:val="nil"/>
              <w:bottom w:val="nil"/>
              <w:right w:val="nil"/>
            </w:tcBorders>
            <w:shd w:val="clear" w:color="auto" w:fill="auto"/>
            <w:noWrap/>
            <w:vAlign w:val="bottom"/>
            <w:hideMark/>
          </w:tcPr>
          <w:p w14:paraId="72148326"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2</w:t>
            </w:r>
          </w:p>
        </w:tc>
        <w:tc>
          <w:tcPr>
            <w:tcW w:w="1324" w:type="dxa"/>
            <w:tcBorders>
              <w:top w:val="nil"/>
              <w:left w:val="nil"/>
              <w:bottom w:val="nil"/>
              <w:right w:val="nil"/>
            </w:tcBorders>
            <w:shd w:val="clear" w:color="auto" w:fill="auto"/>
            <w:noWrap/>
            <w:vAlign w:val="bottom"/>
            <w:hideMark/>
          </w:tcPr>
          <w:p w14:paraId="17F83F0B" w14:textId="77777777" w:rsidR="0091707E" w:rsidRPr="0091707E" w:rsidRDefault="0091707E" w:rsidP="0091707E">
            <w:pPr>
              <w:spacing w:before="0" w:after="0" w:line="240" w:lineRule="auto"/>
              <w:jc w:val="right"/>
              <w:rPr>
                <w:rFonts w:eastAsia="Times New Roman"/>
                <w:b/>
                <w:bCs/>
                <w:color w:val="000000"/>
                <w:sz w:val="22"/>
              </w:rPr>
            </w:pPr>
            <w:r w:rsidRPr="0091707E">
              <w:rPr>
                <w:rFonts w:eastAsia="Times New Roman"/>
                <w:b/>
                <w:bCs/>
                <w:color w:val="000000"/>
                <w:sz w:val="22"/>
              </w:rPr>
              <w:t>InTASC 4</w:t>
            </w:r>
          </w:p>
        </w:tc>
        <w:tc>
          <w:tcPr>
            <w:tcW w:w="1199" w:type="dxa"/>
            <w:tcBorders>
              <w:top w:val="nil"/>
              <w:left w:val="nil"/>
              <w:bottom w:val="nil"/>
              <w:right w:val="nil"/>
            </w:tcBorders>
            <w:shd w:val="clear" w:color="auto" w:fill="auto"/>
            <w:noWrap/>
            <w:vAlign w:val="bottom"/>
            <w:hideMark/>
          </w:tcPr>
          <w:p w14:paraId="299754C0"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11%</w:t>
            </w:r>
          </w:p>
        </w:tc>
        <w:tc>
          <w:tcPr>
            <w:tcW w:w="1081" w:type="dxa"/>
            <w:tcBorders>
              <w:top w:val="nil"/>
              <w:left w:val="nil"/>
              <w:bottom w:val="nil"/>
              <w:right w:val="nil"/>
            </w:tcBorders>
            <w:shd w:val="clear" w:color="auto" w:fill="auto"/>
            <w:noWrap/>
            <w:vAlign w:val="bottom"/>
            <w:hideMark/>
          </w:tcPr>
          <w:p w14:paraId="2D9B15BB"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82%</w:t>
            </w:r>
          </w:p>
        </w:tc>
        <w:tc>
          <w:tcPr>
            <w:tcW w:w="1303" w:type="dxa"/>
            <w:tcBorders>
              <w:top w:val="nil"/>
              <w:left w:val="nil"/>
              <w:bottom w:val="nil"/>
              <w:right w:val="nil"/>
            </w:tcBorders>
            <w:shd w:val="clear" w:color="auto" w:fill="auto"/>
            <w:noWrap/>
            <w:vAlign w:val="bottom"/>
            <w:hideMark/>
          </w:tcPr>
          <w:p w14:paraId="319D6174"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7%</w:t>
            </w:r>
          </w:p>
        </w:tc>
        <w:tc>
          <w:tcPr>
            <w:tcW w:w="3797" w:type="dxa"/>
            <w:tcBorders>
              <w:top w:val="nil"/>
              <w:left w:val="nil"/>
              <w:bottom w:val="nil"/>
              <w:right w:val="nil"/>
            </w:tcBorders>
            <w:shd w:val="clear" w:color="auto" w:fill="auto"/>
            <w:noWrap/>
            <w:vAlign w:val="bottom"/>
            <w:hideMark/>
          </w:tcPr>
          <w:p w14:paraId="7DB073A8" w14:textId="77777777" w:rsidR="0091707E" w:rsidRPr="0091707E" w:rsidRDefault="0091707E" w:rsidP="0091707E">
            <w:pPr>
              <w:spacing w:before="0" w:after="0" w:line="240" w:lineRule="auto"/>
              <w:rPr>
                <w:rFonts w:eastAsia="Times New Roman"/>
                <w:b/>
                <w:bCs/>
                <w:color w:val="000000"/>
                <w:sz w:val="22"/>
              </w:rPr>
            </w:pPr>
            <w:r w:rsidRPr="0091707E">
              <w:rPr>
                <w:rFonts w:eastAsia="Times New Roman"/>
                <w:b/>
                <w:bCs/>
                <w:color w:val="000000"/>
                <w:sz w:val="22"/>
              </w:rPr>
              <w:t>Content Knowledge</w:t>
            </w:r>
          </w:p>
        </w:tc>
      </w:tr>
      <w:tr w:rsidR="0091707E" w:rsidRPr="0091707E" w14:paraId="445B5396" w14:textId="77777777" w:rsidTr="0091707E">
        <w:trPr>
          <w:trHeight w:val="300"/>
        </w:trPr>
        <w:tc>
          <w:tcPr>
            <w:tcW w:w="656" w:type="dxa"/>
            <w:tcBorders>
              <w:top w:val="nil"/>
              <w:left w:val="nil"/>
              <w:bottom w:val="nil"/>
              <w:right w:val="nil"/>
            </w:tcBorders>
            <w:shd w:val="clear" w:color="auto" w:fill="auto"/>
            <w:noWrap/>
            <w:vAlign w:val="bottom"/>
            <w:hideMark/>
          </w:tcPr>
          <w:p w14:paraId="63727AC9"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3</w:t>
            </w:r>
          </w:p>
        </w:tc>
        <w:tc>
          <w:tcPr>
            <w:tcW w:w="1324" w:type="dxa"/>
            <w:tcBorders>
              <w:top w:val="nil"/>
              <w:left w:val="nil"/>
              <w:bottom w:val="nil"/>
              <w:right w:val="nil"/>
            </w:tcBorders>
            <w:shd w:val="clear" w:color="auto" w:fill="auto"/>
            <w:noWrap/>
            <w:vAlign w:val="bottom"/>
            <w:hideMark/>
          </w:tcPr>
          <w:p w14:paraId="39DD520D" w14:textId="77777777" w:rsidR="0091707E" w:rsidRPr="0091707E" w:rsidRDefault="0091707E" w:rsidP="0091707E">
            <w:pPr>
              <w:spacing w:before="0" w:after="0" w:line="240" w:lineRule="auto"/>
              <w:jc w:val="right"/>
              <w:rPr>
                <w:rFonts w:eastAsia="Times New Roman"/>
                <w:b/>
                <w:bCs/>
                <w:color w:val="000000"/>
                <w:sz w:val="22"/>
              </w:rPr>
            </w:pPr>
            <w:r w:rsidRPr="0091707E">
              <w:rPr>
                <w:rFonts w:eastAsia="Times New Roman"/>
                <w:b/>
                <w:bCs/>
                <w:color w:val="000000"/>
                <w:sz w:val="22"/>
              </w:rPr>
              <w:t>InTASC 1</w:t>
            </w:r>
          </w:p>
        </w:tc>
        <w:tc>
          <w:tcPr>
            <w:tcW w:w="1199" w:type="dxa"/>
            <w:tcBorders>
              <w:top w:val="nil"/>
              <w:left w:val="nil"/>
              <w:bottom w:val="nil"/>
              <w:right w:val="nil"/>
            </w:tcBorders>
            <w:shd w:val="clear" w:color="auto" w:fill="auto"/>
            <w:noWrap/>
            <w:vAlign w:val="bottom"/>
            <w:hideMark/>
          </w:tcPr>
          <w:p w14:paraId="7AA19F2D"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9%</w:t>
            </w:r>
          </w:p>
        </w:tc>
        <w:tc>
          <w:tcPr>
            <w:tcW w:w="1081" w:type="dxa"/>
            <w:tcBorders>
              <w:top w:val="nil"/>
              <w:left w:val="nil"/>
              <w:bottom w:val="nil"/>
              <w:right w:val="nil"/>
            </w:tcBorders>
            <w:shd w:val="clear" w:color="auto" w:fill="auto"/>
            <w:noWrap/>
            <w:vAlign w:val="bottom"/>
            <w:hideMark/>
          </w:tcPr>
          <w:p w14:paraId="2564751D"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83%</w:t>
            </w:r>
          </w:p>
        </w:tc>
        <w:tc>
          <w:tcPr>
            <w:tcW w:w="1303" w:type="dxa"/>
            <w:tcBorders>
              <w:top w:val="nil"/>
              <w:left w:val="nil"/>
              <w:bottom w:val="nil"/>
              <w:right w:val="nil"/>
            </w:tcBorders>
            <w:shd w:val="clear" w:color="auto" w:fill="auto"/>
            <w:noWrap/>
            <w:vAlign w:val="bottom"/>
            <w:hideMark/>
          </w:tcPr>
          <w:p w14:paraId="19EDA571"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8%</w:t>
            </w:r>
          </w:p>
        </w:tc>
        <w:tc>
          <w:tcPr>
            <w:tcW w:w="3797" w:type="dxa"/>
            <w:tcBorders>
              <w:top w:val="nil"/>
              <w:left w:val="nil"/>
              <w:bottom w:val="nil"/>
              <w:right w:val="nil"/>
            </w:tcBorders>
            <w:shd w:val="clear" w:color="auto" w:fill="auto"/>
            <w:noWrap/>
            <w:vAlign w:val="bottom"/>
            <w:hideMark/>
          </w:tcPr>
          <w:p w14:paraId="4CF0939A" w14:textId="77777777" w:rsidR="0091707E" w:rsidRPr="0091707E" w:rsidRDefault="0091707E" w:rsidP="0091707E">
            <w:pPr>
              <w:spacing w:before="0" w:after="0" w:line="240" w:lineRule="auto"/>
              <w:rPr>
                <w:rFonts w:eastAsia="Times New Roman"/>
                <w:b/>
                <w:bCs/>
                <w:color w:val="000000"/>
                <w:sz w:val="22"/>
              </w:rPr>
            </w:pPr>
            <w:r w:rsidRPr="0091707E">
              <w:rPr>
                <w:rFonts w:eastAsia="Times New Roman"/>
                <w:b/>
                <w:bCs/>
                <w:color w:val="000000"/>
                <w:sz w:val="22"/>
              </w:rPr>
              <w:t>Learner Development</w:t>
            </w:r>
          </w:p>
        </w:tc>
      </w:tr>
      <w:tr w:rsidR="0091707E" w:rsidRPr="0091707E" w14:paraId="0FBE317F" w14:textId="77777777" w:rsidTr="0091707E">
        <w:trPr>
          <w:trHeight w:val="300"/>
        </w:trPr>
        <w:tc>
          <w:tcPr>
            <w:tcW w:w="656" w:type="dxa"/>
            <w:tcBorders>
              <w:top w:val="nil"/>
              <w:left w:val="nil"/>
              <w:bottom w:val="nil"/>
              <w:right w:val="nil"/>
            </w:tcBorders>
            <w:shd w:val="clear" w:color="auto" w:fill="auto"/>
            <w:noWrap/>
            <w:vAlign w:val="bottom"/>
            <w:hideMark/>
          </w:tcPr>
          <w:p w14:paraId="7EA276C2"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3</w:t>
            </w:r>
          </w:p>
        </w:tc>
        <w:tc>
          <w:tcPr>
            <w:tcW w:w="1324" w:type="dxa"/>
            <w:tcBorders>
              <w:top w:val="nil"/>
              <w:left w:val="nil"/>
              <w:bottom w:val="nil"/>
              <w:right w:val="nil"/>
            </w:tcBorders>
            <w:shd w:val="clear" w:color="auto" w:fill="auto"/>
            <w:noWrap/>
            <w:vAlign w:val="bottom"/>
            <w:hideMark/>
          </w:tcPr>
          <w:p w14:paraId="39B2E571" w14:textId="77777777" w:rsidR="0091707E" w:rsidRPr="0091707E" w:rsidRDefault="0091707E" w:rsidP="0091707E">
            <w:pPr>
              <w:spacing w:before="0" w:after="0" w:line="240" w:lineRule="auto"/>
              <w:jc w:val="right"/>
              <w:rPr>
                <w:rFonts w:eastAsia="Times New Roman"/>
                <w:b/>
                <w:bCs/>
                <w:color w:val="000000"/>
                <w:sz w:val="22"/>
              </w:rPr>
            </w:pPr>
            <w:r w:rsidRPr="0091707E">
              <w:rPr>
                <w:rFonts w:eastAsia="Times New Roman"/>
                <w:b/>
                <w:bCs/>
                <w:color w:val="000000"/>
                <w:sz w:val="22"/>
              </w:rPr>
              <w:t>InTASC 6</w:t>
            </w:r>
          </w:p>
        </w:tc>
        <w:tc>
          <w:tcPr>
            <w:tcW w:w="1199" w:type="dxa"/>
            <w:tcBorders>
              <w:top w:val="nil"/>
              <w:left w:val="nil"/>
              <w:bottom w:val="nil"/>
              <w:right w:val="nil"/>
            </w:tcBorders>
            <w:shd w:val="clear" w:color="auto" w:fill="auto"/>
            <w:noWrap/>
            <w:vAlign w:val="bottom"/>
            <w:hideMark/>
          </w:tcPr>
          <w:p w14:paraId="1F18E85C"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15%</w:t>
            </w:r>
          </w:p>
        </w:tc>
        <w:tc>
          <w:tcPr>
            <w:tcW w:w="1081" w:type="dxa"/>
            <w:tcBorders>
              <w:top w:val="nil"/>
              <w:left w:val="nil"/>
              <w:bottom w:val="nil"/>
              <w:right w:val="nil"/>
            </w:tcBorders>
            <w:shd w:val="clear" w:color="auto" w:fill="auto"/>
            <w:noWrap/>
            <w:vAlign w:val="bottom"/>
            <w:hideMark/>
          </w:tcPr>
          <w:p w14:paraId="1996CFC4"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77%</w:t>
            </w:r>
          </w:p>
        </w:tc>
        <w:tc>
          <w:tcPr>
            <w:tcW w:w="1303" w:type="dxa"/>
            <w:tcBorders>
              <w:top w:val="nil"/>
              <w:left w:val="nil"/>
              <w:bottom w:val="nil"/>
              <w:right w:val="nil"/>
            </w:tcBorders>
            <w:shd w:val="clear" w:color="auto" w:fill="auto"/>
            <w:noWrap/>
            <w:vAlign w:val="bottom"/>
            <w:hideMark/>
          </w:tcPr>
          <w:p w14:paraId="49AD4A79"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8%</w:t>
            </w:r>
          </w:p>
        </w:tc>
        <w:tc>
          <w:tcPr>
            <w:tcW w:w="3797" w:type="dxa"/>
            <w:tcBorders>
              <w:top w:val="nil"/>
              <w:left w:val="nil"/>
              <w:bottom w:val="nil"/>
              <w:right w:val="nil"/>
            </w:tcBorders>
            <w:shd w:val="clear" w:color="auto" w:fill="auto"/>
            <w:noWrap/>
            <w:vAlign w:val="bottom"/>
            <w:hideMark/>
          </w:tcPr>
          <w:p w14:paraId="180EED9C" w14:textId="77777777" w:rsidR="0091707E" w:rsidRPr="0091707E" w:rsidRDefault="0091707E" w:rsidP="0091707E">
            <w:pPr>
              <w:spacing w:before="0" w:after="0" w:line="240" w:lineRule="auto"/>
              <w:rPr>
                <w:rFonts w:eastAsia="Times New Roman"/>
                <w:b/>
                <w:bCs/>
                <w:color w:val="000000"/>
                <w:sz w:val="22"/>
              </w:rPr>
            </w:pPr>
            <w:r w:rsidRPr="0091707E">
              <w:rPr>
                <w:rFonts w:eastAsia="Times New Roman"/>
                <w:b/>
                <w:bCs/>
                <w:color w:val="000000"/>
                <w:sz w:val="22"/>
              </w:rPr>
              <w:t>Assessment</w:t>
            </w:r>
          </w:p>
        </w:tc>
      </w:tr>
      <w:tr w:rsidR="0091707E" w:rsidRPr="0091707E" w14:paraId="3D76C57F" w14:textId="77777777" w:rsidTr="0091707E">
        <w:trPr>
          <w:trHeight w:val="300"/>
        </w:trPr>
        <w:tc>
          <w:tcPr>
            <w:tcW w:w="656" w:type="dxa"/>
            <w:tcBorders>
              <w:top w:val="nil"/>
              <w:left w:val="nil"/>
              <w:bottom w:val="nil"/>
              <w:right w:val="nil"/>
            </w:tcBorders>
            <w:shd w:val="clear" w:color="auto" w:fill="auto"/>
            <w:noWrap/>
            <w:vAlign w:val="bottom"/>
            <w:hideMark/>
          </w:tcPr>
          <w:p w14:paraId="0E7D94FB"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5</w:t>
            </w:r>
          </w:p>
        </w:tc>
        <w:tc>
          <w:tcPr>
            <w:tcW w:w="1324" w:type="dxa"/>
            <w:tcBorders>
              <w:top w:val="nil"/>
              <w:left w:val="nil"/>
              <w:bottom w:val="nil"/>
              <w:right w:val="nil"/>
            </w:tcBorders>
            <w:shd w:val="clear" w:color="auto" w:fill="auto"/>
            <w:noWrap/>
            <w:vAlign w:val="bottom"/>
            <w:hideMark/>
          </w:tcPr>
          <w:p w14:paraId="02C90B5F" w14:textId="77777777" w:rsidR="0091707E" w:rsidRPr="0091707E" w:rsidRDefault="0091707E" w:rsidP="0091707E">
            <w:pPr>
              <w:spacing w:before="0" w:after="0" w:line="240" w:lineRule="auto"/>
              <w:jc w:val="right"/>
              <w:rPr>
                <w:rFonts w:eastAsia="Times New Roman"/>
                <w:b/>
                <w:bCs/>
                <w:color w:val="000000"/>
                <w:sz w:val="22"/>
              </w:rPr>
            </w:pPr>
            <w:r w:rsidRPr="0091707E">
              <w:rPr>
                <w:rFonts w:eastAsia="Times New Roman"/>
                <w:b/>
                <w:bCs/>
                <w:color w:val="000000"/>
                <w:sz w:val="22"/>
              </w:rPr>
              <w:t>InTASC 7</w:t>
            </w:r>
          </w:p>
        </w:tc>
        <w:tc>
          <w:tcPr>
            <w:tcW w:w="1199" w:type="dxa"/>
            <w:tcBorders>
              <w:top w:val="nil"/>
              <w:left w:val="nil"/>
              <w:bottom w:val="nil"/>
              <w:right w:val="nil"/>
            </w:tcBorders>
            <w:shd w:val="clear" w:color="auto" w:fill="auto"/>
            <w:noWrap/>
            <w:vAlign w:val="bottom"/>
            <w:hideMark/>
          </w:tcPr>
          <w:p w14:paraId="75C5F91A"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10%</w:t>
            </w:r>
          </w:p>
        </w:tc>
        <w:tc>
          <w:tcPr>
            <w:tcW w:w="1081" w:type="dxa"/>
            <w:tcBorders>
              <w:top w:val="nil"/>
              <w:left w:val="nil"/>
              <w:bottom w:val="nil"/>
              <w:right w:val="nil"/>
            </w:tcBorders>
            <w:shd w:val="clear" w:color="auto" w:fill="auto"/>
            <w:noWrap/>
            <w:vAlign w:val="bottom"/>
            <w:hideMark/>
          </w:tcPr>
          <w:p w14:paraId="46F24020"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82%</w:t>
            </w:r>
          </w:p>
        </w:tc>
        <w:tc>
          <w:tcPr>
            <w:tcW w:w="1303" w:type="dxa"/>
            <w:tcBorders>
              <w:top w:val="nil"/>
              <w:left w:val="nil"/>
              <w:bottom w:val="nil"/>
              <w:right w:val="nil"/>
            </w:tcBorders>
            <w:shd w:val="clear" w:color="auto" w:fill="auto"/>
            <w:noWrap/>
            <w:vAlign w:val="bottom"/>
            <w:hideMark/>
          </w:tcPr>
          <w:p w14:paraId="5692E8C3"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8%</w:t>
            </w:r>
          </w:p>
        </w:tc>
        <w:tc>
          <w:tcPr>
            <w:tcW w:w="3797" w:type="dxa"/>
            <w:tcBorders>
              <w:top w:val="nil"/>
              <w:left w:val="nil"/>
              <w:bottom w:val="nil"/>
              <w:right w:val="nil"/>
            </w:tcBorders>
            <w:shd w:val="clear" w:color="auto" w:fill="auto"/>
            <w:noWrap/>
            <w:vAlign w:val="bottom"/>
            <w:hideMark/>
          </w:tcPr>
          <w:p w14:paraId="5CF85236" w14:textId="77777777" w:rsidR="0091707E" w:rsidRPr="0091707E" w:rsidRDefault="0091707E" w:rsidP="0091707E">
            <w:pPr>
              <w:spacing w:before="0" w:after="0" w:line="240" w:lineRule="auto"/>
              <w:rPr>
                <w:rFonts w:eastAsia="Times New Roman"/>
                <w:b/>
                <w:bCs/>
                <w:color w:val="000000"/>
                <w:sz w:val="22"/>
              </w:rPr>
            </w:pPr>
            <w:r w:rsidRPr="0091707E">
              <w:rPr>
                <w:rFonts w:eastAsia="Times New Roman"/>
                <w:b/>
                <w:bCs/>
                <w:color w:val="000000"/>
                <w:sz w:val="22"/>
              </w:rPr>
              <w:t>Planning for Instruction</w:t>
            </w:r>
          </w:p>
        </w:tc>
      </w:tr>
      <w:tr w:rsidR="0091707E" w:rsidRPr="0091707E" w14:paraId="4DADA525" w14:textId="77777777" w:rsidTr="0091707E">
        <w:trPr>
          <w:trHeight w:val="300"/>
        </w:trPr>
        <w:tc>
          <w:tcPr>
            <w:tcW w:w="656" w:type="dxa"/>
            <w:tcBorders>
              <w:top w:val="nil"/>
              <w:left w:val="nil"/>
              <w:bottom w:val="nil"/>
              <w:right w:val="nil"/>
            </w:tcBorders>
            <w:shd w:val="clear" w:color="auto" w:fill="auto"/>
            <w:noWrap/>
            <w:vAlign w:val="bottom"/>
            <w:hideMark/>
          </w:tcPr>
          <w:p w14:paraId="108377D9"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6</w:t>
            </w:r>
          </w:p>
        </w:tc>
        <w:tc>
          <w:tcPr>
            <w:tcW w:w="1324" w:type="dxa"/>
            <w:tcBorders>
              <w:top w:val="nil"/>
              <w:left w:val="nil"/>
              <w:bottom w:val="nil"/>
              <w:right w:val="nil"/>
            </w:tcBorders>
            <w:shd w:val="clear" w:color="auto" w:fill="auto"/>
            <w:noWrap/>
            <w:vAlign w:val="bottom"/>
            <w:hideMark/>
          </w:tcPr>
          <w:p w14:paraId="1E998A17" w14:textId="77777777" w:rsidR="0091707E" w:rsidRPr="0091707E" w:rsidRDefault="0091707E" w:rsidP="0091707E">
            <w:pPr>
              <w:spacing w:before="0" w:after="0" w:line="240" w:lineRule="auto"/>
              <w:jc w:val="right"/>
              <w:rPr>
                <w:rFonts w:eastAsia="Times New Roman"/>
                <w:b/>
                <w:bCs/>
                <w:color w:val="000000"/>
                <w:sz w:val="22"/>
              </w:rPr>
            </w:pPr>
            <w:r w:rsidRPr="0091707E">
              <w:rPr>
                <w:rFonts w:eastAsia="Times New Roman"/>
                <w:b/>
                <w:bCs/>
                <w:color w:val="000000"/>
                <w:sz w:val="22"/>
              </w:rPr>
              <w:t>InTASC 5</w:t>
            </w:r>
          </w:p>
        </w:tc>
        <w:tc>
          <w:tcPr>
            <w:tcW w:w="1199" w:type="dxa"/>
            <w:tcBorders>
              <w:top w:val="nil"/>
              <w:left w:val="nil"/>
              <w:bottom w:val="nil"/>
              <w:right w:val="nil"/>
            </w:tcBorders>
            <w:shd w:val="clear" w:color="auto" w:fill="auto"/>
            <w:noWrap/>
            <w:vAlign w:val="bottom"/>
            <w:hideMark/>
          </w:tcPr>
          <w:p w14:paraId="0353480F"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14%</w:t>
            </w:r>
          </w:p>
        </w:tc>
        <w:tc>
          <w:tcPr>
            <w:tcW w:w="1081" w:type="dxa"/>
            <w:tcBorders>
              <w:top w:val="nil"/>
              <w:left w:val="nil"/>
              <w:bottom w:val="nil"/>
              <w:right w:val="nil"/>
            </w:tcBorders>
            <w:shd w:val="clear" w:color="auto" w:fill="auto"/>
            <w:noWrap/>
            <w:vAlign w:val="bottom"/>
            <w:hideMark/>
          </w:tcPr>
          <w:p w14:paraId="2D0027AA"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77%</w:t>
            </w:r>
          </w:p>
        </w:tc>
        <w:tc>
          <w:tcPr>
            <w:tcW w:w="1303" w:type="dxa"/>
            <w:tcBorders>
              <w:top w:val="nil"/>
              <w:left w:val="nil"/>
              <w:bottom w:val="nil"/>
              <w:right w:val="nil"/>
            </w:tcBorders>
            <w:shd w:val="clear" w:color="auto" w:fill="auto"/>
            <w:noWrap/>
            <w:vAlign w:val="bottom"/>
            <w:hideMark/>
          </w:tcPr>
          <w:p w14:paraId="79FE71C9"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9%</w:t>
            </w:r>
          </w:p>
        </w:tc>
        <w:tc>
          <w:tcPr>
            <w:tcW w:w="3797" w:type="dxa"/>
            <w:tcBorders>
              <w:top w:val="nil"/>
              <w:left w:val="nil"/>
              <w:bottom w:val="nil"/>
              <w:right w:val="nil"/>
            </w:tcBorders>
            <w:shd w:val="clear" w:color="auto" w:fill="auto"/>
            <w:noWrap/>
            <w:vAlign w:val="bottom"/>
            <w:hideMark/>
          </w:tcPr>
          <w:p w14:paraId="3160125F" w14:textId="77777777" w:rsidR="0091707E" w:rsidRPr="0091707E" w:rsidRDefault="0091707E" w:rsidP="0091707E">
            <w:pPr>
              <w:spacing w:before="0" w:after="0" w:line="240" w:lineRule="auto"/>
              <w:rPr>
                <w:rFonts w:eastAsia="Times New Roman"/>
                <w:b/>
                <w:bCs/>
                <w:color w:val="000000"/>
                <w:sz w:val="22"/>
              </w:rPr>
            </w:pPr>
            <w:r w:rsidRPr="0091707E">
              <w:rPr>
                <w:rFonts w:eastAsia="Times New Roman"/>
                <w:b/>
                <w:bCs/>
                <w:color w:val="000000"/>
                <w:sz w:val="22"/>
              </w:rPr>
              <w:t>Application of Content</w:t>
            </w:r>
          </w:p>
        </w:tc>
      </w:tr>
      <w:tr w:rsidR="0091707E" w:rsidRPr="0091707E" w14:paraId="289555DE" w14:textId="77777777" w:rsidTr="0091707E">
        <w:trPr>
          <w:trHeight w:val="300"/>
        </w:trPr>
        <w:tc>
          <w:tcPr>
            <w:tcW w:w="656" w:type="dxa"/>
            <w:tcBorders>
              <w:top w:val="nil"/>
              <w:left w:val="nil"/>
              <w:bottom w:val="nil"/>
              <w:right w:val="nil"/>
            </w:tcBorders>
            <w:shd w:val="clear" w:color="auto" w:fill="auto"/>
            <w:noWrap/>
            <w:vAlign w:val="bottom"/>
            <w:hideMark/>
          </w:tcPr>
          <w:p w14:paraId="19A56618"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6</w:t>
            </w:r>
          </w:p>
        </w:tc>
        <w:tc>
          <w:tcPr>
            <w:tcW w:w="1324" w:type="dxa"/>
            <w:tcBorders>
              <w:top w:val="nil"/>
              <w:left w:val="nil"/>
              <w:bottom w:val="nil"/>
              <w:right w:val="nil"/>
            </w:tcBorders>
            <w:shd w:val="clear" w:color="auto" w:fill="auto"/>
            <w:noWrap/>
            <w:vAlign w:val="bottom"/>
            <w:hideMark/>
          </w:tcPr>
          <w:p w14:paraId="794A5E8A" w14:textId="77777777" w:rsidR="0091707E" w:rsidRPr="0091707E" w:rsidRDefault="0091707E" w:rsidP="0091707E">
            <w:pPr>
              <w:spacing w:before="0" w:after="0" w:line="240" w:lineRule="auto"/>
              <w:jc w:val="right"/>
              <w:rPr>
                <w:rFonts w:eastAsia="Times New Roman"/>
                <w:b/>
                <w:bCs/>
                <w:color w:val="000000"/>
                <w:sz w:val="22"/>
              </w:rPr>
            </w:pPr>
            <w:r w:rsidRPr="0091707E">
              <w:rPr>
                <w:rFonts w:eastAsia="Times New Roman"/>
                <w:b/>
                <w:bCs/>
                <w:color w:val="000000"/>
                <w:sz w:val="22"/>
              </w:rPr>
              <w:t>InTASC 8</w:t>
            </w:r>
          </w:p>
        </w:tc>
        <w:tc>
          <w:tcPr>
            <w:tcW w:w="1199" w:type="dxa"/>
            <w:tcBorders>
              <w:top w:val="nil"/>
              <w:left w:val="nil"/>
              <w:bottom w:val="nil"/>
              <w:right w:val="nil"/>
            </w:tcBorders>
            <w:shd w:val="clear" w:color="auto" w:fill="auto"/>
            <w:noWrap/>
            <w:vAlign w:val="bottom"/>
            <w:hideMark/>
          </w:tcPr>
          <w:p w14:paraId="3519BA56"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16%</w:t>
            </w:r>
          </w:p>
        </w:tc>
        <w:tc>
          <w:tcPr>
            <w:tcW w:w="1081" w:type="dxa"/>
            <w:tcBorders>
              <w:top w:val="nil"/>
              <w:left w:val="nil"/>
              <w:bottom w:val="nil"/>
              <w:right w:val="nil"/>
            </w:tcBorders>
            <w:shd w:val="clear" w:color="auto" w:fill="auto"/>
            <w:noWrap/>
            <w:vAlign w:val="bottom"/>
            <w:hideMark/>
          </w:tcPr>
          <w:p w14:paraId="370E45CA"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75%</w:t>
            </w:r>
          </w:p>
        </w:tc>
        <w:tc>
          <w:tcPr>
            <w:tcW w:w="1303" w:type="dxa"/>
            <w:tcBorders>
              <w:top w:val="nil"/>
              <w:left w:val="nil"/>
              <w:bottom w:val="nil"/>
              <w:right w:val="nil"/>
            </w:tcBorders>
            <w:shd w:val="clear" w:color="auto" w:fill="auto"/>
            <w:noWrap/>
            <w:vAlign w:val="bottom"/>
            <w:hideMark/>
          </w:tcPr>
          <w:p w14:paraId="39983A56"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9%</w:t>
            </w:r>
          </w:p>
        </w:tc>
        <w:tc>
          <w:tcPr>
            <w:tcW w:w="3797" w:type="dxa"/>
            <w:tcBorders>
              <w:top w:val="nil"/>
              <w:left w:val="nil"/>
              <w:bottom w:val="nil"/>
              <w:right w:val="nil"/>
            </w:tcBorders>
            <w:shd w:val="clear" w:color="auto" w:fill="auto"/>
            <w:noWrap/>
            <w:vAlign w:val="bottom"/>
            <w:hideMark/>
          </w:tcPr>
          <w:p w14:paraId="2002DAEC" w14:textId="77777777" w:rsidR="0091707E" w:rsidRPr="0091707E" w:rsidRDefault="0091707E" w:rsidP="0091707E">
            <w:pPr>
              <w:spacing w:before="0" w:after="0" w:line="240" w:lineRule="auto"/>
              <w:rPr>
                <w:rFonts w:eastAsia="Times New Roman"/>
                <w:b/>
                <w:bCs/>
                <w:color w:val="000000"/>
                <w:sz w:val="22"/>
              </w:rPr>
            </w:pPr>
            <w:r w:rsidRPr="0091707E">
              <w:rPr>
                <w:rFonts w:eastAsia="Times New Roman"/>
                <w:b/>
                <w:bCs/>
                <w:color w:val="000000"/>
                <w:sz w:val="22"/>
              </w:rPr>
              <w:t>Instructional Strategies</w:t>
            </w:r>
          </w:p>
        </w:tc>
      </w:tr>
      <w:tr w:rsidR="0091707E" w:rsidRPr="0091707E" w14:paraId="012B8CB1" w14:textId="77777777" w:rsidTr="0091707E">
        <w:trPr>
          <w:trHeight w:val="300"/>
        </w:trPr>
        <w:tc>
          <w:tcPr>
            <w:tcW w:w="656" w:type="dxa"/>
            <w:tcBorders>
              <w:top w:val="nil"/>
              <w:left w:val="nil"/>
              <w:bottom w:val="nil"/>
              <w:right w:val="nil"/>
            </w:tcBorders>
            <w:shd w:val="clear" w:color="auto" w:fill="auto"/>
            <w:noWrap/>
            <w:vAlign w:val="bottom"/>
            <w:hideMark/>
          </w:tcPr>
          <w:p w14:paraId="040C0017"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8</w:t>
            </w:r>
          </w:p>
        </w:tc>
        <w:tc>
          <w:tcPr>
            <w:tcW w:w="1324" w:type="dxa"/>
            <w:tcBorders>
              <w:top w:val="nil"/>
              <w:left w:val="nil"/>
              <w:bottom w:val="nil"/>
              <w:right w:val="nil"/>
            </w:tcBorders>
            <w:shd w:val="clear" w:color="auto" w:fill="auto"/>
            <w:noWrap/>
            <w:vAlign w:val="bottom"/>
            <w:hideMark/>
          </w:tcPr>
          <w:p w14:paraId="5B6C2F0C" w14:textId="77777777" w:rsidR="0091707E" w:rsidRPr="0091707E" w:rsidRDefault="0091707E" w:rsidP="0091707E">
            <w:pPr>
              <w:spacing w:before="0" w:after="0" w:line="240" w:lineRule="auto"/>
              <w:jc w:val="right"/>
              <w:rPr>
                <w:rFonts w:eastAsia="Times New Roman"/>
                <w:b/>
                <w:bCs/>
                <w:color w:val="000000"/>
                <w:sz w:val="22"/>
              </w:rPr>
            </w:pPr>
            <w:r w:rsidRPr="0091707E">
              <w:rPr>
                <w:rFonts w:eastAsia="Times New Roman"/>
                <w:b/>
                <w:bCs/>
                <w:color w:val="000000"/>
                <w:sz w:val="22"/>
              </w:rPr>
              <w:t>InTASC 9</w:t>
            </w:r>
          </w:p>
        </w:tc>
        <w:tc>
          <w:tcPr>
            <w:tcW w:w="1199" w:type="dxa"/>
            <w:tcBorders>
              <w:top w:val="nil"/>
              <w:left w:val="nil"/>
              <w:bottom w:val="nil"/>
              <w:right w:val="nil"/>
            </w:tcBorders>
            <w:shd w:val="clear" w:color="auto" w:fill="auto"/>
            <w:noWrap/>
            <w:vAlign w:val="bottom"/>
            <w:hideMark/>
          </w:tcPr>
          <w:p w14:paraId="6055BE24"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12%</w:t>
            </w:r>
          </w:p>
        </w:tc>
        <w:tc>
          <w:tcPr>
            <w:tcW w:w="1081" w:type="dxa"/>
            <w:tcBorders>
              <w:top w:val="nil"/>
              <w:left w:val="nil"/>
              <w:bottom w:val="nil"/>
              <w:right w:val="nil"/>
            </w:tcBorders>
            <w:shd w:val="clear" w:color="auto" w:fill="auto"/>
            <w:noWrap/>
            <w:vAlign w:val="bottom"/>
            <w:hideMark/>
          </w:tcPr>
          <w:p w14:paraId="546C62AA"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78%</w:t>
            </w:r>
          </w:p>
        </w:tc>
        <w:tc>
          <w:tcPr>
            <w:tcW w:w="1303" w:type="dxa"/>
            <w:tcBorders>
              <w:top w:val="nil"/>
              <w:left w:val="nil"/>
              <w:bottom w:val="nil"/>
              <w:right w:val="nil"/>
            </w:tcBorders>
            <w:shd w:val="clear" w:color="auto" w:fill="auto"/>
            <w:noWrap/>
            <w:vAlign w:val="bottom"/>
            <w:hideMark/>
          </w:tcPr>
          <w:p w14:paraId="5D11E9B3"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10%</w:t>
            </w:r>
          </w:p>
        </w:tc>
        <w:tc>
          <w:tcPr>
            <w:tcW w:w="3797" w:type="dxa"/>
            <w:tcBorders>
              <w:top w:val="nil"/>
              <w:left w:val="nil"/>
              <w:bottom w:val="nil"/>
              <w:right w:val="nil"/>
            </w:tcBorders>
            <w:shd w:val="clear" w:color="auto" w:fill="auto"/>
            <w:noWrap/>
            <w:vAlign w:val="bottom"/>
            <w:hideMark/>
          </w:tcPr>
          <w:p w14:paraId="133F5EFB" w14:textId="77777777" w:rsidR="0091707E" w:rsidRPr="0091707E" w:rsidRDefault="0091707E" w:rsidP="0091707E">
            <w:pPr>
              <w:spacing w:before="0" w:after="0" w:line="240" w:lineRule="auto"/>
              <w:rPr>
                <w:rFonts w:eastAsia="Times New Roman"/>
                <w:b/>
                <w:bCs/>
                <w:color w:val="000000"/>
                <w:sz w:val="22"/>
              </w:rPr>
            </w:pPr>
            <w:r w:rsidRPr="0091707E">
              <w:rPr>
                <w:rFonts w:eastAsia="Times New Roman"/>
                <w:b/>
                <w:bCs/>
                <w:color w:val="000000"/>
                <w:sz w:val="22"/>
              </w:rPr>
              <w:t>Professional Learning and Ethics</w:t>
            </w:r>
          </w:p>
        </w:tc>
      </w:tr>
      <w:tr w:rsidR="0091707E" w:rsidRPr="0091707E" w14:paraId="79020DDA" w14:textId="77777777" w:rsidTr="0091707E">
        <w:trPr>
          <w:trHeight w:val="300"/>
        </w:trPr>
        <w:tc>
          <w:tcPr>
            <w:tcW w:w="656" w:type="dxa"/>
            <w:tcBorders>
              <w:top w:val="nil"/>
              <w:left w:val="nil"/>
              <w:bottom w:val="nil"/>
              <w:right w:val="nil"/>
            </w:tcBorders>
            <w:shd w:val="clear" w:color="auto" w:fill="auto"/>
            <w:noWrap/>
            <w:vAlign w:val="bottom"/>
            <w:hideMark/>
          </w:tcPr>
          <w:p w14:paraId="7EC11D0B"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8</w:t>
            </w:r>
          </w:p>
        </w:tc>
        <w:tc>
          <w:tcPr>
            <w:tcW w:w="1324" w:type="dxa"/>
            <w:tcBorders>
              <w:top w:val="nil"/>
              <w:left w:val="nil"/>
              <w:bottom w:val="nil"/>
              <w:right w:val="nil"/>
            </w:tcBorders>
            <w:shd w:val="clear" w:color="auto" w:fill="auto"/>
            <w:noWrap/>
            <w:vAlign w:val="bottom"/>
            <w:hideMark/>
          </w:tcPr>
          <w:p w14:paraId="5184186C" w14:textId="77777777" w:rsidR="0091707E" w:rsidRPr="0091707E" w:rsidRDefault="0091707E" w:rsidP="0091707E">
            <w:pPr>
              <w:spacing w:before="0" w:after="0" w:line="240" w:lineRule="auto"/>
              <w:jc w:val="right"/>
              <w:rPr>
                <w:rFonts w:eastAsia="Times New Roman"/>
                <w:b/>
                <w:bCs/>
                <w:color w:val="000000"/>
                <w:sz w:val="22"/>
              </w:rPr>
            </w:pPr>
            <w:r w:rsidRPr="0091707E">
              <w:rPr>
                <w:rFonts w:eastAsia="Times New Roman"/>
                <w:b/>
                <w:bCs/>
                <w:color w:val="000000"/>
                <w:sz w:val="22"/>
              </w:rPr>
              <w:t>InTASC 10</w:t>
            </w:r>
          </w:p>
        </w:tc>
        <w:tc>
          <w:tcPr>
            <w:tcW w:w="1199" w:type="dxa"/>
            <w:tcBorders>
              <w:top w:val="nil"/>
              <w:left w:val="nil"/>
              <w:bottom w:val="nil"/>
              <w:right w:val="nil"/>
            </w:tcBorders>
            <w:shd w:val="clear" w:color="auto" w:fill="auto"/>
            <w:noWrap/>
            <w:vAlign w:val="bottom"/>
            <w:hideMark/>
          </w:tcPr>
          <w:p w14:paraId="53A9BC21"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10%</w:t>
            </w:r>
          </w:p>
        </w:tc>
        <w:tc>
          <w:tcPr>
            <w:tcW w:w="1081" w:type="dxa"/>
            <w:tcBorders>
              <w:top w:val="nil"/>
              <w:left w:val="nil"/>
              <w:bottom w:val="nil"/>
              <w:right w:val="nil"/>
            </w:tcBorders>
            <w:shd w:val="clear" w:color="auto" w:fill="auto"/>
            <w:noWrap/>
            <w:vAlign w:val="bottom"/>
            <w:hideMark/>
          </w:tcPr>
          <w:p w14:paraId="31A3101C"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75%</w:t>
            </w:r>
          </w:p>
        </w:tc>
        <w:tc>
          <w:tcPr>
            <w:tcW w:w="1303" w:type="dxa"/>
            <w:tcBorders>
              <w:top w:val="nil"/>
              <w:left w:val="nil"/>
              <w:bottom w:val="nil"/>
              <w:right w:val="nil"/>
            </w:tcBorders>
            <w:shd w:val="clear" w:color="auto" w:fill="auto"/>
            <w:noWrap/>
            <w:vAlign w:val="bottom"/>
            <w:hideMark/>
          </w:tcPr>
          <w:p w14:paraId="57ADDF02"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15%</w:t>
            </w:r>
          </w:p>
        </w:tc>
        <w:tc>
          <w:tcPr>
            <w:tcW w:w="3797" w:type="dxa"/>
            <w:tcBorders>
              <w:top w:val="nil"/>
              <w:left w:val="nil"/>
              <w:bottom w:val="nil"/>
              <w:right w:val="nil"/>
            </w:tcBorders>
            <w:shd w:val="clear" w:color="auto" w:fill="auto"/>
            <w:noWrap/>
            <w:vAlign w:val="bottom"/>
            <w:hideMark/>
          </w:tcPr>
          <w:p w14:paraId="44512B97" w14:textId="77777777" w:rsidR="0091707E" w:rsidRPr="0091707E" w:rsidRDefault="0091707E" w:rsidP="0091707E">
            <w:pPr>
              <w:spacing w:before="0" w:after="0" w:line="240" w:lineRule="auto"/>
              <w:rPr>
                <w:rFonts w:eastAsia="Times New Roman"/>
                <w:b/>
                <w:bCs/>
                <w:color w:val="000000"/>
                <w:sz w:val="22"/>
              </w:rPr>
            </w:pPr>
            <w:r w:rsidRPr="0091707E">
              <w:rPr>
                <w:rFonts w:eastAsia="Times New Roman"/>
                <w:b/>
                <w:bCs/>
                <w:color w:val="000000"/>
                <w:sz w:val="22"/>
              </w:rPr>
              <w:t>Leadership and Collaboration</w:t>
            </w:r>
          </w:p>
        </w:tc>
      </w:tr>
      <w:tr w:rsidR="0091707E" w:rsidRPr="0091707E" w14:paraId="7AFBDD4D" w14:textId="77777777" w:rsidTr="0091707E">
        <w:trPr>
          <w:trHeight w:val="300"/>
        </w:trPr>
        <w:tc>
          <w:tcPr>
            <w:tcW w:w="656" w:type="dxa"/>
            <w:tcBorders>
              <w:top w:val="nil"/>
              <w:left w:val="nil"/>
              <w:bottom w:val="single" w:sz="4" w:space="0" w:color="auto"/>
              <w:right w:val="nil"/>
            </w:tcBorders>
            <w:shd w:val="clear" w:color="auto" w:fill="auto"/>
            <w:noWrap/>
            <w:vAlign w:val="bottom"/>
            <w:hideMark/>
          </w:tcPr>
          <w:p w14:paraId="5EDA67C5"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10</w:t>
            </w:r>
          </w:p>
        </w:tc>
        <w:tc>
          <w:tcPr>
            <w:tcW w:w="1324" w:type="dxa"/>
            <w:tcBorders>
              <w:top w:val="nil"/>
              <w:left w:val="nil"/>
              <w:bottom w:val="single" w:sz="4" w:space="0" w:color="auto"/>
              <w:right w:val="nil"/>
            </w:tcBorders>
            <w:shd w:val="clear" w:color="auto" w:fill="auto"/>
            <w:noWrap/>
            <w:vAlign w:val="bottom"/>
            <w:hideMark/>
          </w:tcPr>
          <w:p w14:paraId="7BCBC8E7" w14:textId="77777777" w:rsidR="0091707E" w:rsidRPr="0091707E" w:rsidRDefault="0091707E" w:rsidP="0091707E">
            <w:pPr>
              <w:spacing w:before="0" w:after="0" w:line="240" w:lineRule="auto"/>
              <w:jc w:val="right"/>
              <w:rPr>
                <w:rFonts w:eastAsia="Times New Roman"/>
                <w:b/>
                <w:bCs/>
                <w:color w:val="000000"/>
                <w:sz w:val="22"/>
              </w:rPr>
            </w:pPr>
            <w:r w:rsidRPr="0091707E">
              <w:rPr>
                <w:rFonts w:eastAsia="Times New Roman"/>
                <w:b/>
                <w:bCs/>
                <w:color w:val="000000"/>
                <w:sz w:val="22"/>
              </w:rPr>
              <w:t>InTASC 3</w:t>
            </w:r>
          </w:p>
        </w:tc>
        <w:tc>
          <w:tcPr>
            <w:tcW w:w="1199" w:type="dxa"/>
            <w:tcBorders>
              <w:top w:val="nil"/>
              <w:left w:val="nil"/>
              <w:bottom w:val="single" w:sz="4" w:space="0" w:color="auto"/>
              <w:right w:val="nil"/>
            </w:tcBorders>
            <w:shd w:val="clear" w:color="auto" w:fill="auto"/>
            <w:noWrap/>
            <w:vAlign w:val="bottom"/>
            <w:hideMark/>
          </w:tcPr>
          <w:p w14:paraId="53E74C0A"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21%</w:t>
            </w:r>
          </w:p>
        </w:tc>
        <w:tc>
          <w:tcPr>
            <w:tcW w:w="1081" w:type="dxa"/>
            <w:tcBorders>
              <w:top w:val="nil"/>
              <w:left w:val="nil"/>
              <w:bottom w:val="single" w:sz="4" w:space="0" w:color="auto"/>
              <w:right w:val="nil"/>
            </w:tcBorders>
            <w:shd w:val="clear" w:color="auto" w:fill="auto"/>
            <w:noWrap/>
            <w:vAlign w:val="bottom"/>
            <w:hideMark/>
          </w:tcPr>
          <w:p w14:paraId="6B5CFADD" w14:textId="77777777" w:rsidR="0091707E" w:rsidRPr="0091707E" w:rsidRDefault="0091707E" w:rsidP="0091707E">
            <w:pPr>
              <w:spacing w:before="0" w:after="0" w:line="240" w:lineRule="auto"/>
              <w:jc w:val="center"/>
              <w:rPr>
                <w:rFonts w:eastAsia="Times New Roman"/>
                <w:color w:val="000000"/>
                <w:sz w:val="22"/>
              </w:rPr>
            </w:pPr>
            <w:r w:rsidRPr="0091707E">
              <w:rPr>
                <w:rFonts w:eastAsia="Times New Roman"/>
                <w:color w:val="000000"/>
                <w:sz w:val="22"/>
              </w:rPr>
              <w:t>56%</w:t>
            </w:r>
          </w:p>
        </w:tc>
        <w:tc>
          <w:tcPr>
            <w:tcW w:w="1303" w:type="dxa"/>
            <w:tcBorders>
              <w:top w:val="nil"/>
              <w:left w:val="nil"/>
              <w:bottom w:val="single" w:sz="4" w:space="0" w:color="auto"/>
              <w:right w:val="nil"/>
            </w:tcBorders>
            <w:shd w:val="clear" w:color="auto" w:fill="auto"/>
            <w:noWrap/>
            <w:vAlign w:val="bottom"/>
            <w:hideMark/>
          </w:tcPr>
          <w:p w14:paraId="6910EB51" w14:textId="77777777" w:rsidR="0091707E" w:rsidRPr="0091707E" w:rsidRDefault="0091707E" w:rsidP="0091707E">
            <w:pPr>
              <w:spacing w:before="0" w:after="0" w:line="240" w:lineRule="auto"/>
              <w:jc w:val="center"/>
              <w:rPr>
                <w:rFonts w:eastAsia="Times New Roman"/>
                <w:b/>
                <w:bCs/>
                <w:color w:val="000000"/>
                <w:sz w:val="22"/>
              </w:rPr>
            </w:pPr>
            <w:r w:rsidRPr="0091707E">
              <w:rPr>
                <w:rFonts w:eastAsia="Times New Roman"/>
                <w:b/>
                <w:bCs/>
                <w:color w:val="000000"/>
                <w:sz w:val="22"/>
              </w:rPr>
              <w:t>23%</w:t>
            </w:r>
          </w:p>
        </w:tc>
        <w:tc>
          <w:tcPr>
            <w:tcW w:w="3797" w:type="dxa"/>
            <w:tcBorders>
              <w:top w:val="nil"/>
              <w:left w:val="nil"/>
              <w:bottom w:val="single" w:sz="4" w:space="0" w:color="auto"/>
              <w:right w:val="nil"/>
            </w:tcBorders>
            <w:shd w:val="clear" w:color="auto" w:fill="auto"/>
            <w:noWrap/>
            <w:vAlign w:val="bottom"/>
            <w:hideMark/>
          </w:tcPr>
          <w:p w14:paraId="49206628" w14:textId="77777777" w:rsidR="0091707E" w:rsidRPr="0091707E" w:rsidRDefault="0091707E" w:rsidP="0091707E">
            <w:pPr>
              <w:spacing w:before="0" w:after="0" w:line="240" w:lineRule="auto"/>
              <w:rPr>
                <w:rFonts w:eastAsia="Times New Roman"/>
                <w:b/>
                <w:bCs/>
                <w:color w:val="000000"/>
                <w:sz w:val="22"/>
              </w:rPr>
            </w:pPr>
            <w:r w:rsidRPr="0091707E">
              <w:rPr>
                <w:rFonts w:eastAsia="Times New Roman"/>
                <w:b/>
                <w:bCs/>
                <w:color w:val="000000"/>
                <w:sz w:val="22"/>
              </w:rPr>
              <w:t>Learning Environment</w:t>
            </w:r>
          </w:p>
        </w:tc>
      </w:tr>
    </w:tbl>
    <w:p w14:paraId="2B65CBD5" w14:textId="77777777" w:rsidR="0091707E" w:rsidRPr="0091707E" w:rsidRDefault="0091707E" w:rsidP="005A50DE">
      <w:pPr>
        <w:rPr>
          <w:sz w:val="16"/>
          <w:szCs w:val="16"/>
        </w:rPr>
      </w:pPr>
    </w:p>
    <w:p w14:paraId="7B4983C4" w14:textId="77777777" w:rsidR="001F2325" w:rsidRDefault="004E5DA1" w:rsidP="001F2325">
      <w:r>
        <w:t xml:space="preserve">Table 6 shows InTASC Standard 3 to </w:t>
      </w:r>
      <w:r w:rsidR="009834C1">
        <w:t>rank 10</w:t>
      </w:r>
      <w:r w:rsidR="009834C1" w:rsidRPr="009834C1">
        <w:rPr>
          <w:vertAlign w:val="superscript"/>
        </w:rPr>
        <w:t>th</w:t>
      </w:r>
      <w:r w:rsidR="009834C1">
        <w:t xml:space="preserve"> in Developing, which means its 10</w:t>
      </w:r>
      <w:r w:rsidR="009834C1" w:rsidRPr="009834C1">
        <w:rPr>
          <w:vertAlign w:val="superscript"/>
        </w:rPr>
        <w:t>th</w:t>
      </w:r>
      <w:r w:rsidR="009834C1">
        <w:t xml:space="preserve"> rank rating in Proficient wasn’t a result of a high percentage of respondents in the Exemplary category as nearly one fourth of the respondents are still Developing, which is defined as to be a level in which it would be prudent to advise the student to acquire more understanding and/or practice in </w:t>
      </w:r>
      <w:r w:rsidR="006C406B">
        <w:t>the appropriate</w:t>
      </w:r>
      <w:r w:rsidR="009834C1">
        <w:t xml:space="preserve"> InTASC standard</w:t>
      </w:r>
      <w:r w:rsidR="005B6B05">
        <w:t>(s)</w:t>
      </w:r>
      <w:r w:rsidR="009834C1">
        <w:t>.</w:t>
      </w:r>
      <w:r w:rsidR="006C406B">
        <w:t xml:space="preserve">  One obvious conclusion regarding InTASC Standard 3 is some students are learning it exceptionally well while a relatively high percentage of students require further development. </w:t>
      </w:r>
    </w:p>
    <w:p w14:paraId="4E50EACA" w14:textId="77777777" w:rsidR="006C406B" w:rsidRDefault="006C406B" w:rsidP="005A50DE">
      <w:r>
        <w:t>Table 7 presents the composite of the findings of Table 4, 5, and 6 by average ranks.</w:t>
      </w:r>
    </w:p>
    <w:tbl>
      <w:tblPr>
        <w:tblW w:w="9711" w:type="dxa"/>
        <w:tblInd w:w="93" w:type="dxa"/>
        <w:tblLook w:val="04A0" w:firstRow="1" w:lastRow="0" w:firstColumn="1" w:lastColumn="0" w:noHBand="0" w:noVBand="1"/>
      </w:tblPr>
      <w:tblGrid>
        <w:gridCol w:w="1301"/>
        <w:gridCol w:w="1263"/>
        <w:gridCol w:w="1145"/>
        <w:gridCol w:w="1278"/>
        <w:gridCol w:w="998"/>
        <w:gridCol w:w="3726"/>
      </w:tblGrid>
      <w:tr w:rsidR="004E0914" w:rsidRPr="004E0914" w14:paraId="3446AF7A" w14:textId="77777777" w:rsidTr="006C406B">
        <w:trPr>
          <w:trHeight w:val="300"/>
        </w:trPr>
        <w:tc>
          <w:tcPr>
            <w:tcW w:w="9711" w:type="dxa"/>
            <w:gridSpan w:val="6"/>
            <w:vMerge w:val="restart"/>
            <w:tcBorders>
              <w:top w:val="single" w:sz="4" w:space="0" w:color="auto"/>
              <w:left w:val="nil"/>
              <w:bottom w:val="single" w:sz="4" w:space="0" w:color="000000"/>
              <w:right w:val="nil"/>
            </w:tcBorders>
            <w:shd w:val="clear" w:color="auto" w:fill="auto"/>
            <w:noWrap/>
            <w:vAlign w:val="center"/>
            <w:hideMark/>
          </w:tcPr>
          <w:p w14:paraId="114C3980" w14:textId="77777777" w:rsidR="004E0914" w:rsidRPr="004E0914" w:rsidRDefault="004F10BC" w:rsidP="00290AD3">
            <w:pPr>
              <w:spacing w:after="0" w:line="240" w:lineRule="auto"/>
              <w:jc w:val="center"/>
              <w:rPr>
                <w:rFonts w:eastAsia="Times New Roman"/>
                <w:b/>
                <w:bCs/>
                <w:color w:val="000000"/>
                <w:sz w:val="26"/>
                <w:szCs w:val="26"/>
              </w:rPr>
            </w:pPr>
            <w:bookmarkStart w:id="25" w:name="_Toc492828029"/>
            <w:r w:rsidRPr="004F10BC">
              <w:rPr>
                <w:b/>
                <w:color w:val="000000" w:themeColor="text1"/>
                <w:sz w:val="26"/>
                <w:szCs w:val="26"/>
              </w:rPr>
              <w:t xml:space="preserve">Table </w:t>
            </w:r>
            <w:r w:rsidRPr="004F10BC">
              <w:rPr>
                <w:b/>
                <w:color w:val="000000" w:themeColor="text1"/>
                <w:sz w:val="26"/>
                <w:szCs w:val="26"/>
              </w:rPr>
              <w:fldChar w:fldCharType="begin"/>
            </w:r>
            <w:r w:rsidRPr="004F10BC">
              <w:rPr>
                <w:b/>
                <w:color w:val="000000" w:themeColor="text1"/>
                <w:sz w:val="26"/>
                <w:szCs w:val="26"/>
              </w:rPr>
              <w:instrText xml:space="preserve"> SEQ Table \* ARABIC </w:instrText>
            </w:r>
            <w:r w:rsidRPr="004F10BC">
              <w:rPr>
                <w:b/>
                <w:color w:val="000000" w:themeColor="text1"/>
                <w:sz w:val="26"/>
                <w:szCs w:val="26"/>
              </w:rPr>
              <w:fldChar w:fldCharType="separate"/>
            </w:r>
            <w:r w:rsidR="0010294F">
              <w:rPr>
                <w:b/>
                <w:noProof/>
                <w:color w:val="000000" w:themeColor="text1"/>
                <w:sz w:val="26"/>
                <w:szCs w:val="26"/>
              </w:rPr>
              <w:t>7</w:t>
            </w:r>
            <w:r w:rsidRPr="004F10BC">
              <w:rPr>
                <w:b/>
                <w:color w:val="000000" w:themeColor="text1"/>
                <w:sz w:val="26"/>
                <w:szCs w:val="26"/>
              </w:rPr>
              <w:fldChar w:fldCharType="end"/>
            </w:r>
            <w:r w:rsidR="004E0914" w:rsidRPr="004E0914">
              <w:rPr>
                <w:rFonts w:eastAsia="Times New Roman"/>
                <w:b/>
                <w:bCs/>
                <w:color w:val="000000"/>
                <w:sz w:val="26"/>
                <w:szCs w:val="26"/>
              </w:rPr>
              <w:t>: InTASC Standards by Average Rank of Rating Scores</w:t>
            </w:r>
            <w:bookmarkEnd w:id="25"/>
          </w:p>
        </w:tc>
      </w:tr>
      <w:tr w:rsidR="004E0914" w:rsidRPr="004E0914" w14:paraId="612EEB68" w14:textId="77777777" w:rsidTr="006C406B">
        <w:trPr>
          <w:trHeight w:val="379"/>
        </w:trPr>
        <w:tc>
          <w:tcPr>
            <w:tcW w:w="9711" w:type="dxa"/>
            <w:gridSpan w:val="6"/>
            <w:vMerge/>
            <w:tcBorders>
              <w:top w:val="single" w:sz="4" w:space="0" w:color="auto"/>
              <w:left w:val="nil"/>
              <w:bottom w:val="single" w:sz="4" w:space="0" w:color="000000"/>
              <w:right w:val="nil"/>
            </w:tcBorders>
            <w:vAlign w:val="center"/>
            <w:hideMark/>
          </w:tcPr>
          <w:p w14:paraId="16C6BC35" w14:textId="77777777" w:rsidR="004E0914" w:rsidRPr="004E0914" w:rsidRDefault="004E0914" w:rsidP="004E0914">
            <w:pPr>
              <w:spacing w:after="0" w:line="240" w:lineRule="auto"/>
              <w:rPr>
                <w:rFonts w:eastAsia="Times New Roman"/>
                <w:b/>
                <w:bCs/>
                <w:color w:val="000000"/>
                <w:sz w:val="26"/>
                <w:szCs w:val="26"/>
              </w:rPr>
            </w:pPr>
          </w:p>
        </w:tc>
      </w:tr>
      <w:tr w:rsidR="006C406B" w:rsidRPr="004E0914" w14:paraId="00C6593F" w14:textId="77777777" w:rsidTr="006C406B">
        <w:trPr>
          <w:trHeight w:val="300"/>
        </w:trPr>
        <w:tc>
          <w:tcPr>
            <w:tcW w:w="1301" w:type="dxa"/>
            <w:tcBorders>
              <w:top w:val="nil"/>
              <w:left w:val="nil"/>
              <w:bottom w:val="nil"/>
              <w:right w:val="nil"/>
            </w:tcBorders>
            <w:shd w:val="clear" w:color="auto" w:fill="auto"/>
            <w:noWrap/>
            <w:vAlign w:val="bottom"/>
            <w:hideMark/>
          </w:tcPr>
          <w:p w14:paraId="6009F0C9" w14:textId="77777777" w:rsidR="006C406B" w:rsidRPr="004E0914" w:rsidRDefault="006C406B" w:rsidP="004E0914">
            <w:pPr>
              <w:spacing w:after="0" w:line="240" w:lineRule="auto"/>
              <w:jc w:val="center"/>
              <w:rPr>
                <w:rFonts w:eastAsia="Times New Roman"/>
                <w:b/>
                <w:bCs/>
                <w:color w:val="000000"/>
                <w:sz w:val="22"/>
              </w:rPr>
            </w:pPr>
          </w:p>
        </w:tc>
        <w:tc>
          <w:tcPr>
            <w:tcW w:w="4684" w:type="dxa"/>
            <w:gridSpan w:val="4"/>
            <w:tcBorders>
              <w:top w:val="single" w:sz="4" w:space="0" w:color="auto"/>
              <w:left w:val="nil"/>
              <w:bottom w:val="nil"/>
              <w:right w:val="nil"/>
            </w:tcBorders>
            <w:shd w:val="clear" w:color="auto" w:fill="auto"/>
            <w:noWrap/>
            <w:vAlign w:val="bottom"/>
            <w:hideMark/>
          </w:tcPr>
          <w:p w14:paraId="78674075" w14:textId="77777777" w:rsidR="006C406B" w:rsidRPr="004E0914" w:rsidRDefault="006C406B" w:rsidP="004E0914">
            <w:pPr>
              <w:spacing w:after="0" w:line="240" w:lineRule="auto"/>
              <w:jc w:val="center"/>
              <w:rPr>
                <w:rFonts w:eastAsia="Times New Roman"/>
                <w:b/>
                <w:bCs/>
                <w:color w:val="000000"/>
                <w:sz w:val="22"/>
              </w:rPr>
            </w:pPr>
            <w:r w:rsidRPr="004E0914">
              <w:rPr>
                <w:rFonts w:eastAsia="Times New Roman"/>
                <w:b/>
                <w:bCs/>
                <w:color w:val="000000"/>
                <w:sz w:val="22"/>
              </w:rPr>
              <w:t>Rank</w:t>
            </w:r>
          </w:p>
        </w:tc>
        <w:tc>
          <w:tcPr>
            <w:tcW w:w="3726" w:type="dxa"/>
            <w:tcBorders>
              <w:top w:val="nil"/>
              <w:left w:val="nil"/>
              <w:bottom w:val="nil"/>
              <w:right w:val="nil"/>
            </w:tcBorders>
            <w:shd w:val="clear" w:color="auto" w:fill="auto"/>
            <w:noWrap/>
            <w:vAlign w:val="bottom"/>
            <w:hideMark/>
          </w:tcPr>
          <w:p w14:paraId="2C20C8DC" w14:textId="77777777" w:rsidR="006C406B" w:rsidRPr="004E0914" w:rsidRDefault="006C406B" w:rsidP="00562539">
            <w:pPr>
              <w:spacing w:after="0" w:line="240" w:lineRule="auto"/>
              <w:jc w:val="center"/>
              <w:rPr>
                <w:rFonts w:eastAsia="Times New Roman"/>
                <w:color w:val="000000"/>
                <w:sz w:val="22"/>
              </w:rPr>
            </w:pPr>
            <w:r w:rsidRPr="00C53AB7">
              <w:rPr>
                <w:rFonts w:eastAsia="Times New Roman"/>
                <w:b/>
                <w:bCs/>
                <w:color w:val="000000"/>
                <w:sz w:val="22"/>
              </w:rPr>
              <w:t>InTASC Standard</w:t>
            </w:r>
          </w:p>
        </w:tc>
      </w:tr>
      <w:tr w:rsidR="006C406B" w:rsidRPr="004E0914" w14:paraId="7BD8E63A" w14:textId="77777777" w:rsidTr="006C406B">
        <w:trPr>
          <w:trHeight w:val="300"/>
        </w:trPr>
        <w:tc>
          <w:tcPr>
            <w:tcW w:w="1301" w:type="dxa"/>
            <w:tcBorders>
              <w:top w:val="nil"/>
              <w:left w:val="nil"/>
              <w:bottom w:val="single" w:sz="4" w:space="0" w:color="auto"/>
              <w:right w:val="nil"/>
            </w:tcBorders>
            <w:shd w:val="clear" w:color="auto" w:fill="auto"/>
            <w:noWrap/>
            <w:vAlign w:val="bottom"/>
            <w:hideMark/>
          </w:tcPr>
          <w:p w14:paraId="545A77A3" w14:textId="77777777" w:rsidR="006C406B" w:rsidRPr="004E0914" w:rsidRDefault="006C406B" w:rsidP="004E0914">
            <w:pPr>
              <w:spacing w:after="0" w:line="240" w:lineRule="auto"/>
              <w:rPr>
                <w:rFonts w:eastAsia="Times New Roman"/>
                <w:color w:val="000000"/>
                <w:sz w:val="22"/>
              </w:rPr>
            </w:pPr>
            <w:r w:rsidRPr="004E0914">
              <w:rPr>
                <w:rFonts w:eastAsia="Times New Roman"/>
                <w:color w:val="000000"/>
                <w:sz w:val="22"/>
              </w:rPr>
              <w:t> </w:t>
            </w:r>
            <w:r w:rsidR="00562539" w:rsidRPr="004E0914">
              <w:rPr>
                <w:rFonts w:eastAsia="Times New Roman"/>
                <w:b/>
                <w:bCs/>
                <w:color w:val="000000"/>
                <w:sz w:val="22"/>
              </w:rPr>
              <w:t>Standard</w:t>
            </w:r>
          </w:p>
        </w:tc>
        <w:tc>
          <w:tcPr>
            <w:tcW w:w="1263" w:type="dxa"/>
            <w:tcBorders>
              <w:top w:val="nil"/>
              <w:left w:val="nil"/>
              <w:bottom w:val="single" w:sz="4" w:space="0" w:color="auto"/>
              <w:right w:val="nil"/>
            </w:tcBorders>
            <w:shd w:val="clear" w:color="auto" w:fill="auto"/>
            <w:noWrap/>
            <w:vAlign w:val="bottom"/>
            <w:hideMark/>
          </w:tcPr>
          <w:p w14:paraId="2DAC996F" w14:textId="77777777" w:rsidR="006C406B" w:rsidRPr="004E0914" w:rsidRDefault="006C406B" w:rsidP="004E0914">
            <w:pPr>
              <w:spacing w:after="0" w:line="240" w:lineRule="auto"/>
              <w:jc w:val="center"/>
              <w:rPr>
                <w:rFonts w:eastAsia="Times New Roman"/>
                <w:b/>
                <w:bCs/>
                <w:color w:val="000000"/>
                <w:sz w:val="22"/>
              </w:rPr>
            </w:pPr>
            <w:r w:rsidRPr="004E0914">
              <w:rPr>
                <w:rFonts w:eastAsia="Times New Roman"/>
                <w:b/>
                <w:bCs/>
                <w:color w:val="000000"/>
                <w:sz w:val="22"/>
              </w:rPr>
              <w:t>Exemplary</w:t>
            </w:r>
          </w:p>
        </w:tc>
        <w:tc>
          <w:tcPr>
            <w:tcW w:w="1145" w:type="dxa"/>
            <w:tcBorders>
              <w:top w:val="nil"/>
              <w:left w:val="nil"/>
              <w:bottom w:val="single" w:sz="4" w:space="0" w:color="auto"/>
              <w:right w:val="nil"/>
            </w:tcBorders>
            <w:shd w:val="clear" w:color="auto" w:fill="auto"/>
            <w:noWrap/>
            <w:vAlign w:val="bottom"/>
            <w:hideMark/>
          </w:tcPr>
          <w:p w14:paraId="518707DF" w14:textId="77777777" w:rsidR="006C406B" w:rsidRPr="004E0914" w:rsidRDefault="00562539" w:rsidP="00562539">
            <w:pPr>
              <w:spacing w:after="0" w:line="240" w:lineRule="auto"/>
              <w:jc w:val="center"/>
              <w:rPr>
                <w:rFonts w:eastAsia="Times New Roman"/>
                <w:b/>
                <w:color w:val="000000"/>
                <w:sz w:val="22"/>
              </w:rPr>
            </w:pPr>
            <w:r>
              <w:rPr>
                <w:rFonts w:eastAsia="Times New Roman"/>
                <w:b/>
                <w:color w:val="000000"/>
                <w:sz w:val="22"/>
              </w:rPr>
              <w:t>Proficient</w:t>
            </w:r>
          </w:p>
        </w:tc>
        <w:tc>
          <w:tcPr>
            <w:tcW w:w="1278" w:type="dxa"/>
            <w:tcBorders>
              <w:top w:val="nil"/>
              <w:left w:val="nil"/>
              <w:bottom w:val="single" w:sz="4" w:space="0" w:color="auto"/>
              <w:right w:val="nil"/>
            </w:tcBorders>
            <w:shd w:val="clear" w:color="auto" w:fill="auto"/>
            <w:noWrap/>
            <w:vAlign w:val="bottom"/>
            <w:hideMark/>
          </w:tcPr>
          <w:p w14:paraId="4445D9F7" w14:textId="77777777" w:rsidR="006C406B" w:rsidRPr="004E0914" w:rsidRDefault="006C406B" w:rsidP="004E0914">
            <w:pPr>
              <w:spacing w:after="0" w:line="240" w:lineRule="auto"/>
              <w:jc w:val="center"/>
              <w:rPr>
                <w:rFonts w:eastAsia="Times New Roman"/>
                <w:b/>
                <w:bCs/>
                <w:color w:val="000000"/>
                <w:sz w:val="22"/>
              </w:rPr>
            </w:pPr>
            <w:r w:rsidRPr="004E0914">
              <w:rPr>
                <w:rFonts w:eastAsia="Times New Roman"/>
                <w:b/>
                <w:bCs/>
                <w:color w:val="000000"/>
                <w:sz w:val="22"/>
              </w:rPr>
              <w:t>Developing</w:t>
            </w:r>
          </w:p>
        </w:tc>
        <w:tc>
          <w:tcPr>
            <w:tcW w:w="998" w:type="dxa"/>
            <w:tcBorders>
              <w:top w:val="nil"/>
              <w:left w:val="nil"/>
              <w:bottom w:val="single" w:sz="4" w:space="0" w:color="auto"/>
              <w:right w:val="nil"/>
            </w:tcBorders>
            <w:shd w:val="clear" w:color="auto" w:fill="auto"/>
            <w:noWrap/>
            <w:vAlign w:val="bottom"/>
            <w:hideMark/>
          </w:tcPr>
          <w:p w14:paraId="46C7BE68" w14:textId="77777777" w:rsidR="006C406B" w:rsidRPr="004E0914" w:rsidRDefault="006C406B" w:rsidP="004E0914">
            <w:pPr>
              <w:spacing w:after="0" w:line="240" w:lineRule="auto"/>
              <w:jc w:val="center"/>
              <w:rPr>
                <w:rFonts w:eastAsia="Times New Roman"/>
                <w:b/>
                <w:bCs/>
                <w:color w:val="000000"/>
                <w:sz w:val="22"/>
              </w:rPr>
            </w:pPr>
            <w:r w:rsidRPr="004E0914">
              <w:rPr>
                <w:rFonts w:eastAsia="Times New Roman"/>
                <w:b/>
                <w:bCs/>
                <w:color w:val="000000"/>
                <w:sz w:val="22"/>
              </w:rPr>
              <w:t>Average</w:t>
            </w:r>
          </w:p>
        </w:tc>
        <w:tc>
          <w:tcPr>
            <w:tcW w:w="3726" w:type="dxa"/>
            <w:tcBorders>
              <w:top w:val="nil"/>
              <w:left w:val="nil"/>
              <w:bottom w:val="single" w:sz="4" w:space="0" w:color="auto"/>
              <w:right w:val="nil"/>
            </w:tcBorders>
            <w:shd w:val="clear" w:color="auto" w:fill="auto"/>
            <w:noWrap/>
            <w:vAlign w:val="bottom"/>
            <w:hideMark/>
          </w:tcPr>
          <w:p w14:paraId="77E08846" w14:textId="77777777" w:rsidR="006C406B" w:rsidRPr="004E0914" w:rsidRDefault="006C406B" w:rsidP="006C406B">
            <w:pPr>
              <w:spacing w:after="0" w:line="240" w:lineRule="auto"/>
              <w:jc w:val="center"/>
              <w:rPr>
                <w:rFonts w:eastAsia="Times New Roman"/>
                <w:color w:val="000000"/>
                <w:sz w:val="22"/>
              </w:rPr>
            </w:pPr>
            <w:r w:rsidRPr="009834C1">
              <w:rPr>
                <w:rFonts w:eastAsia="Times New Roman"/>
                <w:b/>
                <w:color w:val="000000"/>
                <w:sz w:val="22"/>
              </w:rPr>
              <w:t>Descriptor</w:t>
            </w:r>
          </w:p>
        </w:tc>
      </w:tr>
      <w:tr w:rsidR="004E0914" w:rsidRPr="004E0914" w14:paraId="50906C24" w14:textId="77777777" w:rsidTr="006C406B">
        <w:trPr>
          <w:trHeight w:val="300"/>
        </w:trPr>
        <w:tc>
          <w:tcPr>
            <w:tcW w:w="1301" w:type="dxa"/>
            <w:tcBorders>
              <w:top w:val="nil"/>
              <w:left w:val="nil"/>
              <w:bottom w:val="nil"/>
              <w:right w:val="nil"/>
            </w:tcBorders>
            <w:shd w:val="clear" w:color="auto" w:fill="auto"/>
            <w:noWrap/>
            <w:vAlign w:val="bottom"/>
            <w:hideMark/>
          </w:tcPr>
          <w:p w14:paraId="4B054890"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InTASC 2</w:t>
            </w:r>
          </w:p>
        </w:tc>
        <w:tc>
          <w:tcPr>
            <w:tcW w:w="1263" w:type="dxa"/>
            <w:tcBorders>
              <w:top w:val="nil"/>
              <w:left w:val="nil"/>
              <w:bottom w:val="nil"/>
              <w:right w:val="nil"/>
            </w:tcBorders>
            <w:shd w:val="clear" w:color="auto" w:fill="auto"/>
            <w:noWrap/>
            <w:vAlign w:val="bottom"/>
            <w:hideMark/>
          </w:tcPr>
          <w:p w14:paraId="24BDA224"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6</w:t>
            </w:r>
          </w:p>
        </w:tc>
        <w:tc>
          <w:tcPr>
            <w:tcW w:w="1145" w:type="dxa"/>
            <w:tcBorders>
              <w:top w:val="nil"/>
              <w:left w:val="nil"/>
              <w:bottom w:val="nil"/>
              <w:right w:val="nil"/>
            </w:tcBorders>
            <w:shd w:val="clear" w:color="auto" w:fill="auto"/>
            <w:noWrap/>
            <w:vAlign w:val="bottom"/>
            <w:hideMark/>
          </w:tcPr>
          <w:p w14:paraId="1A021326"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1</w:t>
            </w:r>
          </w:p>
        </w:tc>
        <w:tc>
          <w:tcPr>
            <w:tcW w:w="1278" w:type="dxa"/>
            <w:tcBorders>
              <w:top w:val="nil"/>
              <w:left w:val="nil"/>
              <w:bottom w:val="nil"/>
              <w:right w:val="nil"/>
            </w:tcBorders>
            <w:shd w:val="clear" w:color="auto" w:fill="auto"/>
            <w:noWrap/>
            <w:vAlign w:val="bottom"/>
            <w:hideMark/>
          </w:tcPr>
          <w:p w14:paraId="5CA56B00"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1</w:t>
            </w:r>
          </w:p>
        </w:tc>
        <w:tc>
          <w:tcPr>
            <w:tcW w:w="998" w:type="dxa"/>
            <w:tcBorders>
              <w:top w:val="nil"/>
              <w:left w:val="nil"/>
              <w:bottom w:val="nil"/>
              <w:right w:val="nil"/>
            </w:tcBorders>
            <w:shd w:val="clear" w:color="auto" w:fill="auto"/>
            <w:noWrap/>
            <w:vAlign w:val="bottom"/>
            <w:hideMark/>
          </w:tcPr>
          <w:p w14:paraId="5106C2CE" w14:textId="77777777" w:rsidR="004E0914" w:rsidRPr="00464159" w:rsidRDefault="004E0914" w:rsidP="004E0914">
            <w:pPr>
              <w:spacing w:after="0" w:line="240" w:lineRule="auto"/>
              <w:jc w:val="center"/>
              <w:rPr>
                <w:rFonts w:eastAsia="Times New Roman"/>
                <w:b/>
                <w:color w:val="000000"/>
                <w:sz w:val="22"/>
              </w:rPr>
            </w:pPr>
            <w:r w:rsidRPr="00464159">
              <w:rPr>
                <w:rFonts w:eastAsia="Times New Roman"/>
                <w:b/>
                <w:color w:val="000000"/>
                <w:sz w:val="22"/>
              </w:rPr>
              <w:t>2.7</w:t>
            </w:r>
          </w:p>
        </w:tc>
        <w:tc>
          <w:tcPr>
            <w:tcW w:w="3726" w:type="dxa"/>
            <w:tcBorders>
              <w:top w:val="nil"/>
              <w:left w:val="nil"/>
              <w:bottom w:val="nil"/>
              <w:right w:val="nil"/>
            </w:tcBorders>
            <w:shd w:val="clear" w:color="auto" w:fill="auto"/>
            <w:noWrap/>
            <w:vAlign w:val="bottom"/>
            <w:hideMark/>
          </w:tcPr>
          <w:p w14:paraId="0B6C3095"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Learning Differences</w:t>
            </w:r>
            <w:r w:rsidR="00EC018A">
              <w:rPr>
                <w:rFonts w:eastAsia="Times New Roman"/>
                <w:b/>
                <w:bCs/>
                <w:color w:val="000000"/>
                <w:sz w:val="22"/>
              </w:rPr>
              <w:t xml:space="preserve">  (1)                                 </w:t>
            </w:r>
          </w:p>
        </w:tc>
      </w:tr>
      <w:tr w:rsidR="004E0914" w:rsidRPr="004E0914" w14:paraId="4ED478E3" w14:textId="77777777" w:rsidTr="006C406B">
        <w:trPr>
          <w:trHeight w:val="300"/>
        </w:trPr>
        <w:tc>
          <w:tcPr>
            <w:tcW w:w="1301" w:type="dxa"/>
            <w:tcBorders>
              <w:top w:val="nil"/>
              <w:left w:val="nil"/>
              <w:bottom w:val="nil"/>
              <w:right w:val="nil"/>
            </w:tcBorders>
            <w:shd w:val="clear" w:color="auto" w:fill="auto"/>
            <w:noWrap/>
            <w:vAlign w:val="bottom"/>
            <w:hideMark/>
          </w:tcPr>
          <w:p w14:paraId="4F917AC4"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InTASC 4</w:t>
            </w:r>
          </w:p>
        </w:tc>
        <w:tc>
          <w:tcPr>
            <w:tcW w:w="1263" w:type="dxa"/>
            <w:tcBorders>
              <w:top w:val="nil"/>
              <w:left w:val="nil"/>
              <w:bottom w:val="nil"/>
              <w:right w:val="nil"/>
            </w:tcBorders>
            <w:shd w:val="clear" w:color="auto" w:fill="auto"/>
            <w:noWrap/>
            <w:vAlign w:val="bottom"/>
            <w:hideMark/>
          </w:tcPr>
          <w:p w14:paraId="1B1F9B4E"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6</w:t>
            </w:r>
          </w:p>
        </w:tc>
        <w:tc>
          <w:tcPr>
            <w:tcW w:w="1145" w:type="dxa"/>
            <w:tcBorders>
              <w:top w:val="nil"/>
              <w:left w:val="nil"/>
              <w:bottom w:val="nil"/>
              <w:right w:val="nil"/>
            </w:tcBorders>
            <w:shd w:val="clear" w:color="auto" w:fill="auto"/>
            <w:noWrap/>
            <w:vAlign w:val="bottom"/>
            <w:hideMark/>
          </w:tcPr>
          <w:p w14:paraId="2695BA9B"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3</w:t>
            </w:r>
          </w:p>
        </w:tc>
        <w:tc>
          <w:tcPr>
            <w:tcW w:w="1278" w:type="dxa"/>
            <w:tcBorders>
              <w:top w:val="nil"/>
              <w:left w:val="nil"/>
              <w:bottom w:val="nil"/>
              <w:right w:val="nil"/>
            </w:tcBorders>
            <w:shd w:val="clear" w:color="auto" w:fill="auto"/>
            <w:noWrap/>
            <w:vAlign w:val="bottom"/>
            <w:hideMark/>
          </w:tcPr>
          <w:p w14:paraId="592499C9"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2</w:t>
            </w:r>
          </w:p>
        </w:tc>
        <w:tc>
          <w:tcPr>
            <w:tcW w:w="998" w:type="dxa"/>
            <w:tcBorders>
              <w:top w:val="nil"/>
              <w:left w:val="nil"/>
              <w:bottom w:val="nil"/>
              <w:right w:val="nil"/>
            </w:tcBorders>
            <w:shd w:val="clear" w:color="auto" w:fill="auto"/>
            <w:noWrap/>
            <w:vAlign w:val="bottom"/>
            <w:hideMark/>
          </w:tcPr>
          <w:p w14:paraId="6C2C86D0" w14:textId="77777777" w:rsidR="004E0914" w:rsidRPr="00464159" w:rsidRDefault="004E0914" w:rsidP="004E0914">
            <w:pPr>
              <w:spacing w:after="0" w:line="240" w:lineRule="auto"/>
              <w:jc w:val="center"/>
              <w:rPr>
                <w:rFonts w:eastAsia="Times New Roman"/>
                <w:b/>
                <w:color w:val="000000"/>
                <w:sz w:val="22"/>
              </w:rPr>
            </w:pPr>
            <w:r w:rsidRPr="00464159">
              <w:rPr>
                <w:rFonts w:eastAsia="Times New Roman"/>
                <w:b/>
                <w:color w:val="000000"/>
                <w:sz w:val="22"/>
              </w:rPr>
              <w:t>3.7</w:t>
            </w:r>
          </w:p>
        </w:tc>
        <w:tc>
          <w:tcPr>
            <w:tcW w:w="3726" w:type="dxa"/>
            <w:tcBorders>
              <w:top w:val="nil"/>
              <w:left w:val="nil"/>
              <w:bottom w:val="nil"/>
              <w:right w:val="nil"/>
            </w:tcBorders>
            <w:shd w:val="clear" w:color="auto" w:fill="auto"/>
            <w:noWrap/>
            <w:vAlign w:val="bottom"/>
            <w:hideMark/>
          </w:tcPr>
          <w:p w14:paraId="033CCEC1"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Content Knowledge</w:t>
            </w:r>
            <w:r w:rsidR="00EC018A">
              <w:rPr>
                <w:rFonts w:eastAsia="Times New Roman"/>
                <w:b/>
                <w:bCs/>
                <w:color w:val="000000"/>
                <w:sz w:val="22"/>
              </w:rPr>
              <w:t xml:space="preserve">  (2)</w:t>
            </w:r>
          </w:p>
        </w:tc>
      </w:tr>
      <w:tr w:rsidR="004E0914" w:rsidRPr="004E0914" w14:paraId="720B1456" w14:textId="77777777" w:rsidTr="006C406B">
        <w:trPr>
          <w:trHeight w:val="300"/>
        </w:trPr>
        <w:tc>
          <w:tcPr>
            <w:tcW w:w="1301" w:type="dxa"/>
            <w:tcBorders>
              <w:top w:val="nil"/>
              <w:left w:val="nil"/>
              <w:bottom w:val="nil"/>
              <w:right w:val="nil"/>
            </w:tcBorders>
            <w:shd w:val="clear" w:color="auto" w:fill="auto"/>
            <w:noWrap/>
            <w:vAlign w:val="bottom"/>
            <w:hideMark/>
          </w:tcPr>
          <w:p w14:paraId="482E6DD7"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InTASC 6</w:t>
            </w:r>
          </w:p>
        </w:tc>
        <w:tc>
          <w:tcPr>
            <w:tcW w:w="1263" w:type="dxa"/>
            <w:tcBorders>
              <w:top w:val="nil"/>
              <w:left w:val="nil"/>
              <w:bottom w:val="nil"/>
              <w:right w:val="nil"/>
            </w:tcBorders>
            <w:shd w:val="clear" w:color="auto" w:fill="auto"/>
            <w:noWrap/>
            <w:vAlign w:val="bottom"/>
            <w:hideMark/>
          </w:tcPr>
          <w:p w14:paraId="3838A5A0"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3</w:t>
            </w:r>
          </w:p>
        </w:tc>
        <w:tc>
          <w:tcPr>
            <w:tcW w:w="1145" w:type="dxa"/>
            <w:tcBorders>
              <w:top w:val="nil"/>
              <w:left w:val="nil"/>
              <w:bottom w:val="nil"/>
              <w:right w:val="nil"/>
            </w:tcBorders>
            <w:shd w:val="clear" w:color="auto" w:fill="auto"/>
            <w:noWrap/>
            <w:vAlign w:val="bottom"/>
            <w:hideMark/>
          </w:tcPr>
          <w:p w14:paraId="7036C0C4"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6</w:t>
            </w:r>
          </w:p>
        </w:tc>
        <w:tc>
          <w:tcPr>
            <w:tcW w:w="1278" w:type="dxa"/>
            <w:tcBorders>
              <w:top w:val="nil"/>
              <w:left w:val="nil"/>
              <w:bottom w:val="nil"/>
              <w:right w:val="nil"/>
            </w:tcBorders>
            <w:shd w:val="clear" w:color="auto" w:fill="auto"/>
            <w:noWrap/>
            <w:vAlign w:val="bottom"/>
            <w:hideMark/>
          </w:tcPr>
          <w:p w14:paraId="7F8E10A4"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3</w:t>
            </w:r>
          </w:p>
        </w:tc>
        <w:tc>
          <w:tcPr>
            <w:tcW w:w="998" w:type="dxa"/>
            <w:tcBorders>
              <w:top w:val="nil"/>
              <w:left w:val="nil"/>
              <w:bottom w:val="nil"/>
              <w:right w:val="nil"/>
            </w:tcBorders>
            <w:shd w:val="clear" w:color="auto" w:fill="auto"/>
            <w:noWrap/>
            <w:vAlign w:val="bottom"/>
            <w:hideMark/>
          </w:tcPr>
          <w:p w14:paraId="08216415" w14:textId="77777777" w:rsidR="004E0914" w:rsidRPr="00464159" w:rsidRDefault="004E0914" w:rsidP="004E0914">
            <w:pPr>
              <w:spacing w:after="0" w:line="240" w:lineRule="auto"/>
              <w:jc w:val="center"/>
              <w:rPr>
                <w:rFonts w:eastAsia="Times New Roman"/>
                <w:b/>
                <w:color w:val="000000"/>
                <w:sz w:val="22"/>
              </w:rPr>
            </w:pPr>
            <w:r w:rsidRPr="00464159">
              <w:rPr>
                <w:rFonts w:eastAsia="Times New Roman"/>
                <w:b/>
                <w:color w:val="000000"/>
                <w:sz w:val="22"/>
              </w:rPr>
              <w:t>4.0</w:t>
            </w:r>
          </w:p>
        </w:tc>
        <w:tc>
          <w:tcPr>
            <w:tcW w:w="3726" w:type="dxa"/>
            <w:tcBorders>
              <w:top w:val="nil"/>
              <w:left w:val="nil"/>
              <w:bottom w:val="nil"/>
              <w:right w:val="nil"/>
            </w:tcBorders>
            <w:shd w:val="clear" w:color="auto" w:fill="auto"/>
            <w:noWrap/>
            <w:vAlign w:val="bottom"/>
            <w:hideMark/>
          </w:tcPr>
          <w:p w14:paraId="040940E4"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Assessment</w:t>
            </w:r>
            <w:r w:rsidR="00EC018A">
              <w:rPr>
                <w:rFonts w:eastAsia="Times New Roman"/>
                <w:b/>
                <w:bCs/>
                <w:color w:val="000000"/>
                <w:sz w:val="22"/>
              </w:rPr>
              <w:t xml:space="preserve">  (3)</w:t>
            </w:r>
          </w:p>
        </w:tc>
      </w:tr>
      <w:tr w:rsidR="004E0914" w:rsidRPr="004E0914" w14:paraId="117AE7AF" w14:textId="77777777" w:rsidTr="006C406B">
        <w:trPr>
          <w:trHeight w:val="300"/>
        </w:trPr>
        <w:tc>
          <w:tcPr>
            <w:tcW w:w="1301" w:type="dxa"/>
            <w:tcBorders>
              <w:top w:val="nil"/>
              <w:left w:val="nil"/>
              <w:bottom w:val="nil"/>
              <w:right w:val="nil"/>
            </w:tcBorders>
            <w:shd w:val="clear" w:color="auto" w:fill="auto"/>
            <w:noWrap/>
            <w:vAlign w:val="bottom"/>
            <w:hideMark/>
          </w:tcPr>
          <w:p w14:paraId="2E181936"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InTASC 1</w:t>
            </w:r>
          </w:p>
        </w:tc>
        <w:tc>
          <w:tcPr>
            <w:tcW w:w="1263" w:type="dxa"/>
            <w:tcBorders>
              <w:top w:val="nil"/>
              <w:left w:val="nil"/>
              <w:bottom w:val="nil"/>
              <w:right w:val="nil"/>
            </w:tcBorders>
            <w:shd w:val="clear" w:color="auto" w:fill="auto"/>
            <w:noWrap/>
            <w:vAlign w:val="bottom"/>
            <w:hideMark/>
          </w:tcPr>
          <w:p w14:paraId="6D8BEABB"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10</w:t>
            </w:r>
          </w:p>
        </w:tc>
        <w:tc>
          <w:tcPr>
            <w:tcW w:w="1145" w:type="dxa"/>
            <w:tcBorders>
              <w:top w:val="nil"/>
              <w:left w:val="nil"/>
              <w:bottom w:val="nil"/>
              <w:right w:val="nil"/>
            </w:tcBorders>
            <w:shd w:val="clear" w:color="auto" w:fill="auto"/>
            <w:noWrap/>
            <w:vAlign w:val="bottom"/>
            <w:hideMark/>
          </w:tcPr>
          <w:p w14:paraId="2BB8F807"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2</w:t>
            </w:r>
          </w:p>
        </w:tc>
        <w:tc>
          <w:tcPr>
            <w:tcW w:w="1278" w:type="dxa"/>
            <w:tcBorders>
              <w:top w:val="nil"/>
              <w:left w:val="nil"/>
              <w:bottom w:val="nil"/>
              <w:right w:val="nil"/>
            </w:tcBorders>
            <w:shd w:val="clear" w:color="auto" w:fill="auto"/>
            <w:noWrap/>
            <w:vAlign w:val="bottom"/>
            <w:hideMark/>
          </w:tcPr>
          <w:p w14:paraId="720FF430"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3</w:t>
            </w:r>
          </w:p>
        </w:tc>
        <w:tc>
          <w:tcPr>
            <w:tcW w:w="998" w:type="dxa"/>
            <w:tcBorders>
              <w:top w:val="nil"/>
              <w:left w:val="nil"/>
              <w:bottom w:val="nil"/>
              <w:right w:val="nil"/>
            </w:tcBorders>
            <w:shd w:val="clear" w:color="auto" w:fill="auto"/>
            <w:noWrap/>
            <w:vAlign w:val="bottom"/>
            <w:hideMark/>
          </w:tcPr>
          <w:p w14:paraId="6917D8DC" w14:textId="77777777" w:rsidR="004E0914" w:rsidRPr="00464159" w:rsidRDefault="004E0914" w:rsidP="004E0914">
            <w:pPr>
              <w:spacing w:after="0" w:line="240" w:lineRule="auto"/>
              <w:jc w:val="center"/>
              <w:rPr>
                <w:rFonts w:eastAsia="Times New Roman"/>
                <w:b/>
                <w:color w:val="000000"/>
                <w:sz w:val="22"/>
              </w:rPr>
            </w:pPr>
            <w:r w:rsidRPr="00464159">
              <w:rPr>
                <w:rFonts w:eastAsia="Times New Roman"/>
                <w:b/>
                <w:color w:val="000000"/>
                <w:sz w:val="22"/>
              </w:rPr>
              <w:t>5.0</w:t>
            </w:r>
          </w:p>
        </w:tc>
        <w:tc>
          <w:tcPr>
            <w:tcW w:w="3726" w:type="dxa"/>
            <w:tcBorders>
              <w:top w:val="nil"/>
              <w:left w:val="nil"/>
              <w:bottom w:val="nil"/>
              <w:right w:val="nil"/>
            </w:tcBorders>
            <w:shd w:val="clear" w:color="auto" w:fill="auto"/>
            <w:noWrap/>
            <w:vAlign w:val="bottom"/>
            <w:hideMark/>
          </w:tcPr>
          <w:p w14:paraId="52E760D7"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Learner Development</w:t>
            </w:r>
            <w:r w:rsidR="00EC018A">
              <w:rPr>
                <w:rFonts w:eastAsia="Times New Roman"/>
                <w:b/>
                <w:bCs/>
                <w:color w:val="000000"/>
                <w:sz w:val="22"/>
              </w:rPr>
              <w:t xml:space="preserve">  (4)</w:t>
            </w:r>
          </w:p>
        </w:tc>
      </w:tr>
      <w:tr w:rsidR="004E0914" w:rsidRPr="004E0914" w14:paraId="494C29CB" w14:textId="77777777" w:rsidTr="006C406B">
        <w:trPr>
          <w:trHeight w:val="300"/>
        </w:trPr>
        <w:tc>
          <w:tcPr>
            <w:tcW w:w="1301" w:type="dxa"/>
            <w:tcBorders>
              <w:top w:val="nil"/>
              <w:left w:val="nil"/>
              <w:bottom w:val="nil"/>
              <w:right w:val="nil"/>
            </w:tcBorders>
            <w:shd w:val="clear" w:color="auto" w:fill="auto"/>
            <w:noWrap/>
            <w:vAlign w:val="bottom"/>
            <w:hideMark/>
          </w:tcPr>
          <w:p w14:paraId="3316D44E"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InTASC 5</w:t>
            </w:r>
          </w:p>
        </w:tc>
        <w:tc>
          <w:tcPr>
            <w:tcW w:w="1263" w:type="dxa"/>
            <w:tcBorders>
              <w:top w:val="nil"/>
              <w:left w:val="nil"/>
              <w:bottom w:val="nil"/>
              <w:right w:val="nil"/>
            </w:tcBorders>
            <w:shd w:val="clear" w:color="auto" w:fill="auto"/>
            <w:noWrap/>
            <w:vAlign w:val="bottom"/>
            <w:hideMark/>
          </w:tcPr>
          <w:p w14:paraId="0DDB82DD"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4</w:t>
            </w:r>
          </w:p>
        </w:tc>
        <w:tc>
          <w:tcPr>
            <w:tcW w:w="1145" w:type="dxa"/>
            <w:tcBorders>
              <w:top w:val="nil"/>
              <w:left w:val="nil"/>
              <w:bottom w:val="nil"/>
              <w:right w:val="nil"/>
            </w:tcBorders>
            <w:shd w:val="clear" w:color="auto" w:fill="auto"/>
            <w:noWrap/>
            <w:vAlign w:val="bottom"/>
            <w:hideMark/>
          </w:tcPr>
          <w:p w14:paraId="3938198C"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6</w:t>
            </w:r>
          </w:p>
        </w:tc>
        <w:tc>
          <w:tcPr>
            <w:tcW w:w="1278" w:type="dxa"/>
            <w:tcBorders>
              <w:top w:val="nil"/>
              <w:left w:val="nil"/>
              <w:bottom w:val="nil"/>
              <w:right w:val="nil"/>
            </w:tcBorders>
            <w:shd w:val="clear" w:color="auto" w:fill="auto"/>
            <w:noWrap/>
            <w:vAlign w:val="bottom"/>
            <w:hideMark/>
          </w:tcPr>
          <w:p w14:paraId="3838F1B7"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6</w:t>
            </w:r>
          </w:p>
        </w:tc>
        <w:tc>
          <w:tcPr>
            <w:tcW w:w="998" w:type="dxa"/>
            <w:tcBorders>
              <w:top w:val="nil"/>
              <w:left w:val="nil"/>
              <w:bottom w:val="nil"/>
              <w:right w:val="nil"/>
            </w:tcBorders>
            <w:shd w:val="clear" w:color="auto" w:fill="auto"/>
            <w:noWrap/>
            <w:vAlign w:val="bottom"/>
            <w:hideMark/>
          </w:tcPr>
          <w:p w14:paraId="7B9DDBDC" w14:textId="77777777" w:rsidR="004E0914" w:rsidRPr="00464159" w:rsidRDefault="004E0914" w:rsidP="004E0914">
            <w:pPr>
              <w:spacing w:after="0" w:line="240" w:lineRule="auto"/>
              <w:jc w:val="center"/>
              <w:rPr>
                <w:rFonts w:eastAsia="Times New Roman"/>
                <w:b/>
                <w:color w:val="000000"/>
                <w:sz w:val="22"/>
              </w:rPr>
            </w:pPr>
            <w:r w:rsidRPr="00464159">
              <w:rPr>
                <w:rFonts w:eastAsia="Times New Roman"/>
                <w:b/>
                <w:color w:val="000000"/>
                <w:sz w:val="22"/>
              </w:rPr>
              <w:t>5.3</w:t>
            </w:r>
          </w:p>
        </w:tc>
        <w:tc>
          <w:tcPr>
            <w:tcW w:w="3726" w:type="dxa"/>
            <w:tcBorders>
              <w:top w:val="nil"/>
              <w:left w:val="nil"/>
              <w:bottom w:val="nil"/>
              <w:right w:val="nil"/>
            </w:tcBorders>
            <w:shd w:val="clear" w:color="auto" w:fill="auto"/>
            <w:noWrap/>
            <w:vAlign w:val="bottom"/>
            <w:hideMark/>
          </w:tcPr>
          <w:p w14:paraId="720873B7"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Application of Content</w:t>
            </w:r>
            <w:r w:rsidR="00EC018A">
              <w:rPr>
                <w:rFonts w:eastAsia="Times New Roman"/>
                <w:b/>
                <w:bCs/>
                <w:color w:val="000000"/>
                <w:sz w:val="22"/>
              </w:rPr>
              <w:t xml:space="preserve">  (5)</w:t>
            </w:r>
          </w:p>
        </w:tc>
      </w:tr>
      <w:tr w:rsidR="004E0914" w:rsidRPr="004E0914" w14:paraId="06A5E204" w14:textId="77777777" w:rsidTr="006C406B">
        <w:trPr>
          <w:trHeight w:val="300"/>
        </w:trPr>
        <w:tc>
          <w:tcPr>
            <w:tcW w:w="1301" w:type="dxa"/>
            <w:tcBorders>
              <w:top w:val="nil"/>
              <w:left w:val="nil"/>
              <w:bottom w:val="nil"/>
              <w:right w:val="nil"/>
            </w:tcBorders>
            <w:shd w:val="clear" w:color="auto" w:fill="auto"/>
            <w:noWrap/>
            <w:vAlign w:val="bottom"/>
            <w:hideMark/>
          </w:tcPr>
          <w:p w14:paraId="09EC2365"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InTASC 7</w:t>
            </w:r>
          </w:p>
        </w:tc>
        <w:tc>
          <w:tcPr>
            <w:tcW w:w="1263" w:type="dxa"/>
            <w:tcBorders>
              <w:top w:val="nil"/>
              <w:left w:val="nil"/>
              <w:bottom w:val="nil"/>
              <w:right w:val="nil"/>
            </w:tcBorders>
            <w:shd w:val="clear" w:color="auto" w:fill="auto"/>
            <w:noWrap/>
            <w:vAlign w:val="bottom"/>
            <w:hideMark/>
          </w:tcPr>
          <w:p w14:paraId="43169A94"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w:t>
            </w:r>
          </w:p>
        </w:tc>
        <w:tc>
          <w:tcPr>
            <w:tcW w:w="1145" w:type="dxa"/>
            <w:tcBorders>
              <w:top w:val="nil"/>
              <w:left w:val="nil"/>
              <w:bottom w:val="nil"/>
              <w:right w:val="nil"/>
            </w:tcBorders>
            <w:shd w:val="clear" w:color="auto" w:fill="auto"/>
            <w:noWrap/>
            <w:vAlign w:val="bottom"/>
            <w:hideMark/>
          </w:tcPr>
          <w:p w14:paraId="55350525"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3</w:t>
            </w:r>
          </w:p>
        </w:tc>
        <w:tc>
          <w:tcPr>
            <w:tcW w:w="1278" w:type="dxa"/>
            <w:tcBorders>
              <w:top w:val="nil"/>
              <w:left w:val="nil"/>
              <w:bottom w:val="nil"/>
              <w:right w:val="nil"/>
            </w:tcBorders>
            <w:shd w:val="clear" w:color="auto" w:fill="auto"/>
            <w:noWrap/>
            <w:vAlign w:val="bottom"/>
            <w:hideMark/>
          </w:tcPr>
          <w:p w14:paraId="6E132D10"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5</w:t>
            </w:r>
          </w:p>
        </w:tc>
        <w:tc>
          <w:tcPr>
            <w:tcW w:w="998" w:type="dxa"/>
            <w:tcBorders>
              <w:top w:val="nil"/>
              <w:left w:val="nil"/>
              <w:bottom w:val="nil"/>
              <w:right w:val="nil"/>
            </w:tcBorders>
            <w:shd w:val="clear" w:color="auto" w:fill="auto"/>
            <w:noWrap/>
            <w:vAlign w:val="bottom"/>
            <w:hideMark/>
          </w:tcPr>
          <w:p w14:paraId="70B4A9BC" w14:textId="77777777" w:rsidR="004E0914" w:rsidRPr="00464159" w:rsidRDefault="004E0914" w:rsidP="004E0914">
            <w:pPr>
              <w:spacing w:after="0" w:line="240" w:lineRule="auto"/>
              <w:jc w:val="center"/>
              <w:rPr>
                <w:rFonts w:eastAsia="Times New Roman"/>
                <w:b/>
                <w:color w:val="000000"/>
                <w:sz w:val="22"/>
              </w:rPr>
            </w:pPr>
            <w:r w:rsidRPr="00464159">
              <w:rPr>
                <w:rFonts w:eastAsia="Times New Roman"/>
                <w:b/>
                <w:color w:val="000000"/>
                <w:sz w:val="22"/>
              </w:rPr>
              <w:t>5.3</w:t>
            </w:r>
          </w:p>
        </w:tc>
        <w:tc>
          <w:tcPr>
            <w:tcW w:w="3726" w:type="dxa"/>
            <w:tcBorders>
              <w:top w:val="nil"/>
              <w:left w:val="nil"/>
              <w:bottom w:val="nil"/>
              <w:right w:val="nil"/>
            </w:tcBorders>
            <w:shd w:val="clear" w:color="auto" w:fill="auto"/>
            <w:noWrap/>
            <w:vAlign w:val="bottom"/>
            <w:hideMark/>
          </w:tcPr>
          <w:p w14:paraId="5DE072ED" w14:textId="77777777" w:rsidR="004E0914" w:rsidRPr="004E0914" w:rsidRDefault="004E0914" w:rsidP="00562539">
            <w:pPr>
              <w:spacing w:after="0" w:line="240" w:lineRule="auto"/>
              <w:rPr>
                <w:rFonts w:eastAsia="Times New Roman"/>
                <w:b/>
                <w:bCs/>
                <w:color w:val="000000"/>
                <w:sz w:val="22"/>
              </w:rPr>
            </w:pPr>
            <w:r w:rsidRPr="004E0914">
              <w:rPr>
                <w:rFonts w:eastAsia="Times New Roman"/>
                <w:b/>
                <w:bCs/>
                <w:color w:val="000000"/>
                <w:sz w:val="22"/>
              </w:rPr>
              <w:t>Planning for Instruction</w:t>
            </w:r>
            <w:r w:rsidR="00EC018A">
              <w:rPr>
                <w:rFonts w:eastAsia="Times New Roman"/>
                <w:b/>
                <w:bCs/>
                <w:color w:val="000000"/>
                <w:sz w:val="22"/>
              </w:rPr>
              <w:t xml:space="preserve">  (</w:t>
            </w:r>
            <w:r w:rsidR="00562539">
              <w:rPr>
                <w:rFonts w:eastAsia="Times New Roman"/>
                <w:b/>
                <w:bCs/>
                <w:color w:val="000000"/>
                <w:sz w:val="22"/>
              </w:rPr>
              <w:t>5</w:t>
            </w:r>
            <w:r w:rsidR="00EC018A">
              <w:rPr>
                <w:rFonts w:eastAsia="Times New Roman"/>
                <w:b/>
                <w:bCs/>
                <w:color w:val="000000"/>
                <w:sz w:val="22"/>
              </w:rPr>
              <w:t>)</w:t>
            </w:r>
          </w:p>
        </w:tc>
      </w:tr>
      <w:tr w:rsidR="004E0914" w:rsidRPr="004E0914" w14:paraId="02FE2DA2" w14:textId="77777777" w:rsidTr="006C406B">
        <w:trPr>
          <w:trHeight w:val="300"/>
        </w:trPr>
        <w:tc>
          <w:tcPr>
            <w:tcW w:w="1301" w:type="dxa"/>
            <w:tcBorders>
              <w:top w:val="nil"/>
              <w:left w:val="nil"/>
              <w:bottom w:val="nil"/>
              <w:right w:val="nil"/>
            </w:tcBorders>
            <w:shd w:val="clear" w:color="auto" w:fill="auto"/>
            <w:noWrap/>
            <w:vAlign w:val="bottom"/>
            <w:hideMark/>
          </w:tcPr>
          <w:p w14:paraId="24DC66DB"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InTASC 8</w:t>
            </w:r>
          </w:p>
        </w:tc>
        <w:tc>
          <w:tcPr>
            <w:tcW w:w="1263" w:type="dxa"/>
            <w:tcBorders>
              <w:top w:val="nil"/>
              <w:left w:val="nil"/>
              <w:bottom w:val="nil"/>
              <w:right w:val="nil"/>
            </w:tcBorders>
            <w:shd w:val="clear" w:color="auto" w:fill="auto"/>
            <w:noWrap/>
            <w:vAlign w:val="bottom"/>
            <w:hideMark/>
          </w:tcPr>
          <w:p w14:paraId="3662AA43"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2</w:t>
            </w:r>
          </w:p>
        </w:tc>
        <w:tc>
          <w:tcPr>
            <w:tcW w:w="1145" w:type="dxa"/>
            <w:tcBorders>
              <w:top w:val="nil"/>
              <w:left w:val="nil"/>
              <w:bottom w:val="nil"/>
              <w:right w:val="nil"/>
            </w:tcBorders>
            <w:shd w:val="clear" w:color="auto" w:fill="auto"/>
            <w:noWrap/>
            <w:vAlign w:val="bottom"/>
            <w:hideMark/>
          </w:tcPr>
          <w:p w14:paraId="022AA9DB"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w:t>
            </w:r>
          </w:p>
        </w:tc>
        <w:tc>
          <w:tcPr>
            <w:tcW w:w="1278" w:type="dxa"/>
            <w:tcBorders>
              <w:top w:val="nil"/>
              <w:left w:val="nil"/>
              <w:bottom w:val="nil"/>
              <w:right w:val="nil"/>
            </w:tcBorders>
            <w:shd w:val="clear" w:color="auto" w:fill="auto"/>
            <w:noWrap/>
            <w:vAlign w:val="bottom"/>
            <w:hideMark/>
          </w:tcPr>
          <w:p w14:paraId="39C2DE0C"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6</w:t>
            </w:r>
          </w:p>
        </w:tc>
        <w:tc>
          <w:tcPr>
            <w:tcW w:w="998" w:type="dxa"/>
            <w:tcBorders>
              <w:top w:val="nil"/>
              <w:left w:val="nil"/>
              <w:bottom w:val="nil"/>
              <w:right w:val="nil"/>
            </w:tcBorders>
            <w:shd w:val="clear" w:color="auto" w:fill="auto"/>
            <w:noWrap/>
            <w:vAlign w:val="bottom"/>
            <w:hideMark/>
          </w:tcPr>
          <w:p w14:paraId="03CD41A4" w14:textId="77777777" w:rsidR="004E0914" w:rsidRPr="00464159" w:rsidRDefault="004E0914" w:rsidP="004E0914">
            <w:pPr>
              <w:spacing w:after="0" w:line="240" w:lineRule="auto"/>
              <w:jc w:val="center"/>
              <w:rPr>
                <w:rFonts w:eastAsia="Times New Roman"/>
                <w:b/>
                <w:color w:val="000000"/>
                <w:sz w:val="22"/>
              </w:rPr>
            </w:pPr>
            <w:r w:rsidRPr="00464159">
              <w:rPr>
                <w:rFonts w:eastAsia="Times New Roman"/>
                <w:b/>
                <w:color w:val="000000"/>
                <w:sz w:val="22"/>
              </w:rPr>
              <w:t>5.3</w:t>
            </w:r>
          </w:p>
        </w:tc>
        <w:tc>
          <w:tcPr>
            <w:tcW w:w="3726" w:type="dxa"/>
            <w:tcBorders>
              <w:top w:val="nil"/>
              <w:left w:val="nil"/>
              <w:bottom w:val="nil"/>
              <w:right w:val="nil"/>
            </w:tcBorders>
            <w:shd w:val="clear" w:color="auto" w:fill="auto"/>
            <w:noWrap/>
            <w:vAlign w:val="bottom"/>
            <w:hideMark/>
          </w:tcPr>
          <w:p w14:paraId="745BDB6F" w14:textId="77777777" w:rsidR="004E0914" w:rsidRPr="004E0914" w:rsidRDefault="004E0914" w:rsidP="00562539">
            <w:pPr>
              <w:spacing w:after="0" w:line="240" w:lineRule="auto"/>
              <w:rPr>
                <w:rFonts w:eastAsia="Times New Roman"/>
                <w:b/>
                <w:bCs/>
                <w:color w:val="000000"/>
                <w:sz w:val="22"/>
              </w:rPr>
            </w:pPr>
            <w:r w:rsidRPr="004E0914">
              <w:rPr>
                <w:rFonts w:eastAsia="Times New Roman"/>
                <w:b/>
                <w:bCs/>
                <w:color w:val="000000"/>
                <w:sz w:val="22"/>
              </w:rPr>
              <w:t>Instructional Strategies</w:t>
            </w:r>
            <w:r w:rsidR="00EC018A">
              <w:rPr>
                <w:rFonts w:eastAsia="Times New Roman"/>
                <w:b/>
                <w:bCs/>
                <w:color w:val="000000"/>
                <w:sz w:val="22"/>
              </w:rPr>
              <w:t xml:space="preserve">  (</w:t>
            </w:r>
            <w:r w:rsidR="00562539">
              <w:rPr>
                <w:rFonts w:eastAsia="Times New Roman"/>
                <w:b/>
                <w:bCs/>
                <w:color w:val="000000"/>
                <w:sz w:val="22"/>
              </w:rPr>
              <w:t>5</w:t>
            </w:r>
            <w:r w:rsidR="00EC018A">
              <w:rPr>
                <w:rFonts w:eastAsia="Times New Roman"/>
                <w:b/>
                <w:bCs/>
                <w:color w:val="000000"/>
                <w:sz w:val="22"/>
              </w:rPr>
              <w:t>)</w:t>
            </w:r>
          </w:p>
        </w:tc>
      </w:tr>
      <w:tr w:rsidR="004E0914" w:rsidRPr="004E0914" w14:paraId="21FBA449" w14:textId="77777777" w:rsidTr="006C406B">
        <w:trPr>
          <w:trHeight w:val="300"/>
        </w:trPr>
        <w:tc>
          <w:tcPr>
            <w:tcW w:w="1301" w:type="dxa"/>
            <w:tcBorders>
              <w:top w:val="nil"/>
              <w:left w:val="nil"/>
              <w:bottom w:val="nil"/>
              <w:right w:val="nil"/>
            </w:tcBorders>
            <w:shd w:val="clear" w:color="auto" w:fill="auto"/>
            <w:noWrap/>
            <w:vAlign w:val="bottom"/>
            <w:hideMark/>
          </w:tcPr>
          <w:p w14:paraId="6C296083"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InTASC 9</w:t>
            </w:r>
          </w:p>
        </w:tc>
        <w:tc>
          <w:tcPr>
            <w:tcW w:w="1263" w:type="dxa"/>
            <w:tcBorders>
              <w:top w:val="nil"/>
              <w:left w:val="nil"/>
              <w:bottom w:val="nil"/>
              <w:right w:val="nil"/>
            </w:tcBorders>
            <w:shd w:val="clear" w:color="auto" w:fill="auto"/>
            <w:noWrap/>
            <w:vAlign w:val="bottom"/>
            <w:hideMark/>
          </w:tcPr>
          <w:p w14:paraId="0A68786F"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5</w:t>
            </w:r>
          </w:p>
        </w:tc>
        <w:tc>
          <w:tcPr>
            <w:tcW w:w="1145" w:type="dxa"/>
            <w:tcBorders>
              <w:top w:val="nil"/>
              <w:left w:val="nil"/>
              <w:bottom w:val="nil"/>
              <w:right w:val="nil"/>
            </w:tcBorders>
            <w:shd w:val="clear" w:color="auto" w:fill="auto"/>
            <w:noWrap/>
            <w:vAlign w:val="bottom"/>
            <w:hideMark/>
          </w:tcPr>
          <w:p w14:paraId="64E0E1A9"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5</w:t>
            </w:r>
          </w:p>
        </w:tc>
        <w:tc>
          <w:tcPr>
            <w:tcW w:w="1278" w:type="dxa"/>
            <w:tcBorders>
              <w:top w:val="nil"/>
              <w:left w:val="nil"/>
              <w:bottom w:val="nil"/>
              <w:right w:val="nil"/>
            </w:tcBorders>
            <w:shd w:val="clear" w:color="auto" w:fill="auto"/>
            <w:noWrap/>
            <w:vAlign w:val="bottom"/>
            <w:hideMark/>
          </w:tcPr>
          <w:p w14:paraId="223DF819"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w:t>
            </w:r>
          </w:p>
        </w:tc>
        <w:tc>
          <w:tcPr>
            <w:tcW w:w="998" w:type="dxa"/>
            <w:tcBorders>
              <w:top w:val="nil"/>
              <w:left w:val="nil"/>
              <w:bottom w:val="nil"/>
              <w:right w:val="nil"/>
            </w:tcBorders>
            <w:shd w:val="clear" w:color="auto" w:fill="auto"/>
            <w:noWrap/>
            <w:vAlign w:val="bottom"/>
            <w:hideMark/>
          </w:tcPr>
          <w:p w14:paraId="3E63998B" w14:textId="77777777" w:rsidR="004E0914" w:rsidRPr="00464159" w:rsidRDefault="004E0914" w:rsidP="004E0914">
            <w:pPr>
              <w:spacing w:after="0" w:line="240" w:lineRule="auto"/>
              <w:jc w:val="center"/>
              <w:rPr>
                <w:rFonts w:eastAsia="Times New Roman"/>
                <w:b/>
                <w:color w:val="000000"/>
                <w:sz w:val="22"/>
              </w:rPr>
            </w:pPr>
            <w:r w:rsidRPr="00464159">
              <w:rPr>
                <w:rFonts w:eastAsia="Times New Roman"/>
                <w:b/>
                <w:color w:val="000000"/>
                <w:sz w:val="22"/>
              </w:rPr>
              <w:t>6.0</w:t>
            </w:r>
          </w:p>
        </w:tc>
        <w:tc>
          <w:tcPr>
            <w:tcW w:w="3726" w:type="dxa"/>
            <w:tcBorders>
              <w:top w:val="nil"/>
              <w:left w:val="nil"/>
              <w:bottom w:val="nil"/>
              <w:right w:val="nil"/>
            </w:tcBorders>
            <w:shd w:val="clear" w:color="auto" w:fill="auto"/>
            <w:noWrap/>
            <w:vAlign w:val="bottom"/>
            <w:hideMark/>
          </w:tcPr>
          <w:p w14:paraId="0E0647C2"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Professional Learning and Ethics</w:t>
            </w:r>
            <w:r w:rsidR="00EC018A">
              <w:rPr>
                <w:rFonts w:eastAsia="Times New Roman"/>
                <w:b/>
                <w:bCs/>
                <w:color w:val="000000"/>
                <w:sz w:val="22"/>
              </w:rPr>
              <w:t xml:space="preserve">  (8)</w:t>
            </w:r>
          </w:p>
        </w:tc>
      </w:tr>
      <w:tr w:rsidR="004E0914" w:rsidRPr="004E0914" w14:paraId="791AA395" w14:textId="77777777" w:rsidTr="006C406B">
        <w:trPr>
          <w:trHeight w:val="315"/>
        </w:trPr>
        <w:tc>
          <w:tcPr>
            <w:tcW w:w="1301" w:type="dxa"/>
            <w:tcBorders>
              <w:top w:val="nil"/>
              <w:left w:val="nil"/>
              <w:bottom w:val="nil"/>
              <w:right w:val="nil"/>
            </w:tcBorders>
            <w:shd w:val="clear" w:color="auto" w:fill="auto"/>
            <w:noWrap/>
            <w:vAlign w:val="bottom"/>
            <w:hideMark/>
          </w:tcPr>
          <w:p w14:paraId="4DDA50F2"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InTASC 3</w:t>
            </w:r>
          </w:p>
        </w:tc>
        <w:tc>
          <w:tcPr>
            <w:tcW w:w="1263" w:type="dxa"/>
            <w:tcBorders>
              <w:top w:val="nil"/>
              <w:left w:val="nil"/>
              <w:bottom w:val="nil"/>
              <w:right w:val="nil"/>
            </w:tcBorders>
            <w:shd w:val="clear" w:color="auto" w:fill="auto"/>
            <w:noWrap/>
            <w:vAlign w:val="bottom"/>
            <w:hideMark/>
          </w:tcPr>
          <w:p w14:paraId="4B60383E"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1</w:t>
            </w:r>
          </w:p>
        </w:tc>
        <w:tc>
          <w:tcPr>
            <w:tcW w:w="1145" w:type="dxa"/>
            <w:tcBorders>
              <w:top w:val="nil"/>
              <w:left w:val="nil"/>
              <w:bottom w:val="nil"/>
              <w:right w:val="nil"/>
            </w:tcBorders>
            <w:shd w:val="clear" w:color="auto" w:fill="auto"/>
            <w:noWrap/>
            <w:vAlign w:val="bottom"/>
            <w:hideMark/>
          </w:tcPr>
          <w:p w14:paraId="455A84AE"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10</w:t>
            </w:r>
          </w:p>
        </w:tc>
        <w:tc>
          <w:tcPr>
            <w:tcW w:w="1278" w:type="dxa"/>
            <w:tcBorders>
              <w:top w:val="nil"/>
              <w:left w:val="nil"/>
              <w:bottom w:val="nil"/>
              <w:right w:val="nil"/>
            </w:tcBorders>
            <w:shd w:val="clear" w:color="auto" w:fill="auto"/>
            <w:noWrap/>
            <w:vAlign w:val="bottom"/>
            <w:hideMark/>
          </w:tcPr>
          <w:p w14:paraId="3CA0DF1A"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10</w:t>
            </w:r>
          </w:p>
        </w:tc>
        <w:tc>
          <w:tcPr>
            <w:tcW w:w="998" w:type="dxa"/>
            <w:tcBorders>
              <w:top w:val="nil"/>
              <w:left w:val="nil"/>
              <w:bottom w:val="nil"/>
              <w:right w:val="nil"/>
            </w:tcBorders>
            <w:shd w:val="clear" w:color="auto" w:fill="auto"/>
            <w:noWrap/>
            <w:vAlign w:val="bottom"/>
            <w:hideMark/>
          </w:tcPr>
          <w:p w14:paraId="029BC4C3" w14:textId="77777777" w:rsidR="004E0914" w:rsidRPr="00464159" w:rsidRDefault="004E0914" w:rsidP="004E0914">
            <w:pPr>
              <w:spacing w:after="0" w:line="240" w:lineRule="auto"/>
              <w:jc w:val="center"/>
              <w:rPr>
                <w:rFonts w:eastAsia="Times New Roman"/>
                <w:b/>
                <w:color w:val="000000"/>
                <w:sz w:val="22"/>
              </w:rPr>
            </w:pPr>
            <w:r w:rsidRPr="00464159">
              <w:rPr>
                <w:rFonts w:eastAsia="Times New Roman"/>
                <w:b/>
                <w:color w:val="000000"/>
                <w:sz w:val="22"/>
              </w:rPr>
              <w:t>7.0</w:t>
            </w:r>
          </w:p>
        </w:tc>
        <w:tc>
          <w:tcPr>
            <w:tcW w:w="3726" w:type="dxa"/>
            <w:tcBorders>
              <w:top w:val="nil"/>
              <w:left w:val="nil"/>
              <w:bottom w:val="nil"/>
              <w:right w:val="nil"/>
            </w:tcBorders>
            <w:shd w:val="clear" w:color="auto" w:fill="auto"/>
            <w:noWrap/>
            <w:vAlign w:val="bottom"/>
            <w:hideMark/>
          </w:tcPr>
          <w:p w14:paraId="2CD817ED"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Learning Environment</w:t>
            </w:r>
            <w:r w:rsidR="00EC018A">
              <w:rPr>
                <w:rFonts w:eastAsia="Times New Roman"/>
                <w:b/>
                <w:bCs/>
                <w:color w:val="000000"/>
                <w:sz w:val="22"/>
              </w:rPr>
              <w:t xml:space="preserve">  (9)</w:t>
            </w:r>
          </w:p>
        </w:tc>
      </w:tr>
      <w:tr w:rsidR="004E0914" w:rsidRPr="004E0914" w14:paraId="79A2556D" w14:textId="77777777" w:rsidTr="006C406B">
        <w:trPr>
          <w:trHeight w:val="300"/>
        </w:trPr>
        <w:tc>
          <w:tcPr>
            <w:tcW w:w="1301" w:type="dxa"/>
            <w:tcBorders>
              <w:top w:val="nil"/>
              <w:left w:val="nil"/>
              <w:bottom w:val="single" w:sz="4" w:space="0" w:color="auto"/>
              <w:right w:val="nil"/>
            </w:tcBorders>
            <w:shd w:val="clear" w:color="auto" w:fill="auto"/>
            <w:noWrap/>
            <w:vAlign w:val="bottom"/>
            <w:hideMark/>
          </w:tcPr>
          <w:p w14:paraId="0E027CB9"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InTASC 10</w:t>
            </w:r>
          </w:p>
        </w:tc>
        <w:tc>
          <w:tcPr>
            <w:tcW w:w="1263" w:type="dxa"/>
            <w:tcBorders>
              <w:top w:val="nil"/>
              <w:left w:val="nil"/>
              <w:bottom w:val="single" w:sz="4" w:space="0" w:color="auto"/>
              <w:right w:val="nil"/>
            </w:tcBorders>
            <w:shd w:val="clear" w:color="auto" w:fill="auto"/>
            <w:noWrap/>
            <w:vAlign w:val="bottom"/>
            <w:hideMark/>
          </w:tcPr>
          <w:p w14:paraId="107786C6"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w:t>
            </w:r>
          </w:p>
        </w:tc>
        <w:tc>
          <w:tcPr>
            <w:tcW w:w="1145" w:type="dxa"/>
            <w:tcBorders>
              <w:top w:val="nil"/>
              <w:left w:val="nil"/>
              <w:bottom w:val="single" w:sz="4" w:space="0" w:color="auto"/>
              <w:right w:val="nil"/>
            </w:tcBorders>
            <w:shd w:val="clear" w:color="auto" w:fill="auto"/>
            <w:noWrap/>
            <w:vAlign w:val="bottom"/>
            <w:hideMark/>
          </w:tcPr>
          <w:p w14:paraId="547A0AEF"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w:t>
            </w:r>
          </w:p>
        </w:tc>
        <w:tc>
          <w:tcPr>
            <w:tcW w:w="1278" w:type="dxa"/>
            <w:tcBorders>
              <w:top w:val="nil"/>
              <w:left w:val="nil"/>
              <w:bottom w:val="single" w:sz="4" w:space="0" w:color="auto"/>
              <w:right w:val="nil"/>
            </w:tcBorders>
            <w:shd w:val="clear" w:color="auto" w:fill="auto"/>
            <w:noWrap/>
            <w:vAlign w:val="bottom"/>
            <w:hideMark/>
          </w:tcPr>
          <w:p w14:paraId="690244B8" w14:textId="77777777" w:rsidR="004E0914" w:rsidRPr="004E0914" w:rsidRDefault="004E0914" w:rsidP="004E0914">
            <w:pPr>
              <w:spacing w:after="0" w:line="240" w:lineRule="auto"/>
              <w:jc w:val="center"/>
              <w:rPr>
                <w:rFonts w:eastAsia="Times New Roman"/>
                <w:color w:val="000000"/>
                <w:sz w:val="22"/>
              </w:rPr>
            </w:pPr>
            <w:r w:rsidRPr="004E0914">
              <w:rPr>
                <w:rFonts w:eastAsia="Times New Roman"/>
                <w:color w:val="000000"/>
                <w:sz w:val="22"/>
              </w:rPr>
              <w:t>8</w:t>
            </w:r>
          </w:p>
        </w:tc>
        <w:tc>
          <w:tcPr>
            <w:tcW w:w="998" w:type="dxa"/>
            <w:tcBorders>
              <w:top w:val="nil"/>
              <w:left w:val="nil"/>
              <w:bottom w:val="single" w:sz="4" w:space="0" w:color="auto"/>
              <w:right w:val="nil"/>
            </w:tcBorders>
            <w:shd w:val="clear" w:color="auto" w:fill="auto"/>
            <w:noWrap/>
            <w:vAlign w:val="bottom"/>
            <w:hideMark/>
          </w:tcPr>
          <w:p w14:paraId="17133524" w14:textId="77777777" w:rsidR="004E0914" w:rsidRPr="00464159" w:rsidRDefault="004E0914" w:rsidP="004E0914">
            <w:pPr>
              <w:spacing w:after="0" w:line="240" w:lineRule="auto"/>
              <w:jc w:val="center"/>
              <w:rPr>
                <w:rFonts w:eastAsia="Times New Roman"/>
                <w:b/>
                <w:color w:val="000000"/>
                <w:sz w:val="22"/>
              </w:rPr>
            </w:pPr>
            <w:r w:rsidRPr="00464159">
              <w:rPr>
                <w:rFonts w:eastAsia="Times New Roman"/>
                <w:b/>
                <w:color w:val="000000"/>
                <w:sz w:val="22"/>
              </w:rPr>
              <w:t>8.0</w:t>
            </w:r>
          </w:p>
        </w:tc>
        <w:tc>
          <w:tcPr>
            <w:tcW w:w="3726" w:type="dxa"/>
            <w:tcBorders>
              <w:top w:val="nil"/>
              <w:left w:val="nil"/>
              <w:bottom w:val="single" w:sz="4" w:space="0" w:color="auto"/>
              <w:right w:val="nil"/>
            </w:tcBorders>
            <w:shd w:val="clear" w:color="auto" w:fill="auto"/>
            <w:noWrap/>
            <w:vAlign w:val="bottom"/>
            <w:hideMark/>
          </w:tcPr>
          <w:p w14:paraId="56EA67F0" w14:textId="77777777" w:rsidR="004E0914" w:rsidRPr="004E0914" w:rsidRDefault="004E0914" w:rsidP="004E0914">
            <w:pPr>
              <w:spacing w:after="0" w:line="240" w:lineRule="auto"/>
              <w:rPr>
                <w:rFonts w:eastAsia="Times New Roman"/>
                <w:b/>
                <w:bCs/>
                <w:color w:val="000000"/>
                <w:sz w:val="22"/>
              </w:rPr>
            </w:pPr>
            <w:r w:rsidRPr="004E0914">
              <w:rPr>
                <w:rFonts w:eastAsia="Times New Roman"/>
                <w:b/>
                <w:bCs/>
                <w:color w:val="000000"/>
                <w:sz w:val="22"/>
              </w:rPr>
              <w:t>Leadership and Collaboration</w:t>
            </w:r>
            <w:r w:rsidR="00EC018A">
              <w:rPr>
                <w:rFonts w:eastAsia="Times New Roman"/>
                <w:b/>
                <w:bCs/>
                <w:color w:val="000000"/>
                <w:sz w:val="22"/>
              </w:rPr>
              <w:t xml:space="preserve">  (10)</w:t>
            </w:r>
          </w:p>
        </w:tc>
      </w:tr>
    </w:tbl>
    <w:p w14:paraId="63B41E5F" w14:textId="77777777" w:rsidR="001F2325" w:rsidRDefault="006C406B" w:rsidP="00DF07C3">
      <w:r>
        <w:lastRenderedPageBreak/>
        <w:t xml:space="preserve">Table 7 is perhaps the most concise way to view the degree to which </w:t>
      </w:r>
      <w:r w:rsidR="00EC018A">
        <w:t>the acquisition</w:t>
      </w:r>
      <w:r>
        <w:t xml:space="preserve"> </w:t>
      </w:r>
      <w:r w:rsidR="00EC018A">
        <w:t xml:space="preserve">of each </w:t>
      </w:r>
      <w:r>
        <w:t xml:space="preserve">InTASC </w:t>
      </w:r>
      <w:r w:rsidR="00CB03A3">
        <w:t>S</w:t>
      </w:r>
      <w:r>
        <w:t xml:space="preserve">tandard is being </w:t>
      </w:r>
      <w:r w:rsidR="00EC018A">
        <w:t>assessed.</w:t>
      </w:r>
      <w:r w:rsidR="00562539">
        <w:t xml:space="preserve">  An example of one way to interpret Table 7 is to look at Learning Differences</w:t>
      </w:r>
      <w:r w:rsidR="005B6B05">
        <w:t xml:space="preserve"> beginning with </w:t>
      </w:r>
      <w:r w:rsidR="004F75DB">
        <w:t>InTASC 2,</w:t>
      </w:r>
      <w:r w:rsidR="00562539">
        <w:t xml:space="preserve"> which has the highest </w:t>
      </w:r>
      <w:r w:rsidR="00562539" w:rsidRPr="00CB03A3">
        <w:t>average</w:t>
      </w:r>
      <w:r w:rsidR="00562539" w:rsidRPr="00CB03A3">
        <w:rPr>
          <w:i/>
        </w:rPr>
        <w:t xml:space="preserve"> rank</w:t>
      </w:r>
      <w:r w:rsidR="00562539">
        <w:t xml:space="preserve">.  For Learning Differences, students are ranked </w:t>
      </w:r>
      <w:r w:rsidR="004F75DB">
        <w:t>6</w:t>
      </w:r>
      <w:r w:rsidR="004F75DB" w:rsidRPr="004F75DB">
        <w:rPr>
          <w:vertAlign w:val="superscript"/>
        </w:rPr>
        <w:t>th</w:t>
      </w:r>
      <w:r w:rsidR="004F75DB">
        <w:t xml:space="preserve"> </w:t>
      </w:r>
      <w:r w:rsidR="00562539">
        <w:t>for Exemplary but the best rank for number of Proficient and the least percentage of stude</w:t>
      </w:r>
      <w:r w:rsidR="00290AD3">
        <w:t>nts who are still D</w:t>
      </w:r>
      <w:r w:rsidR="00562539">
        <w:t xml:space="preserve">eveloping.  The conclusion for this Standard is it is being acquired very well with </w:t>
      </w:r>
      <w:r w:rsidR="004F75DB">
        <w:t>relatively fewer</w:t>
      </w:r>
      <w:r w:rsidR="00562539">
        <w:t xml:space="preserve"> students showing a need for</w:t>
      </w:r>
      <w:r w:rsidR="00E402C2">
        <w:t xml:space="preserve"> further development, that is, 95% of the students are assessed to have successfully met the criteria for Learning Differences with 11% of these students considered to be a viable mentor in this regard.  One further step to take the conclusion is to reflect upon what the actual </w:t>
      </w:r>
      <w:r w:rsidR="004F75DB">
        <w:t>s</w:t>
      </w:r>
      <w:r w:rsidR="00E402C2">
        <w:t>tandard addresses, that is, learning differences.  A teacher who has demonstrated proficiency in learning differences is positioned to be an educator who will make an essential difference in the lives of many students that goes</w:t>
      </w:r>
      <w:r w:rsidR="00CB03A3">
        <w:t xml:space="preserve"> well</w:t>
      </w:r>
      <w:r w:rsidR="00E402C2">
        <w:t xml:space="preserve"> beyond a good grade point average.</w:t>
      </w:r>
    </w:p>
    <w:p w14:paraId="0FFE1262" w14:textId="77777777" w:rsidR="00A41540" w:rsidRPr="00DF07C3" w:rsidRDefault="00CA160D" w:rsidP="00DF07C3">
      <w:pPr>
        <w:rPr>
          <w:i/>
        </w:rPr>
      </w:pPr>
      <w:r>
        <w:t xml:space="preserve">     </w:t>
      </w:r>
      <w:r w:rsidR="00A41540" w:rsidRPr="00DF07C3">
        <w:rPr>
          <w:i/>
        </w:rPr>
        <w:t xml:space="preserve">Consideration of InTASC </w:t>
      </w:r>
      <w:r w:rsidRPr="00DF07C3">
        <w:rPr>
          <w:i/>
        </w:rPr>
        <w:t>factors</w:t>
      </w:r>
      <w:r w:rsidR="00A41540" w:rsidRPr="00DF07C3">
        <w:rPr>
          <w:i/>
        </w:rPr>
        <w:t>.</w:t>
      </w:r>
    </w:p>
    <w:p w14:paraId="2113F459" w14:textId="77777777" w:rsidR="00E3778E" w:rsidRDefault="007F0163">
      <w:r>
        <w:t xml:space="preserve">Table 8 provides a level of analysis to complement the </w:t>
      </w:r>
      <w:r w:rsidR="004F61B8">
        <w:t xml:space="preserve">findings for the InTASC </w:t>
      </w:r>
      <w:r>
        <w:t>S</w:t>
      </w:r>
      <w:r w:rsidR="004F61B8">
        <w:t>tandards.</w:t>
      </w:r>
    </w:p>
    <w:tbl>
      <w:tblPr>
        <w:tblW w:w="9461" w:type="dxa"/>
        <w:tblInd w:w="93" w:type="dxa"/>
        <w:tblLook w:val="04A0" w:firstRow="1" w:lastRow="0" w:firstColumn="1" w:lastColumn="0" w:noHBand="0" w:noVBand="1"/>
      </w:tblPr>
      <w:tblGrid>
        <w:gridCol w:w="1174"/>
        <w:gridCol w:w="1336"/>
        <w:gridCol w:w="3832"/>
        <w:gridCol w:w="3119"/>
      </w:tblGrid>
      <w:tr w:rsidR="00E3778E" w:rsidRPr="00E3778E" w14:paraId="131B94F9" w14:textId="77777777" w:rsidTr="00E3778E">
        <w:trPr>
          <w:trHeight w:val="330"/>
        </w:trPr>
        <w:tc>
          <w:tcPr>
            <w:tcW w:w="9461" w:type="dxa"/>
            <w:gridSpan w:val="4"/>
            <w:tcBorders>
              <w:top w:val="single" w:sz="4" w:space="0" w:color="auto"/>
              <w:left w:val="nil"/>
              <w:bottom w:val="single" w:sz="4" w:space="0" w:color="auto"/>
              <w:right w:val="nil"/>
            </w:tcBorders>
            <w:shd w:val="clear" w:color="auto" w:fill="auto"/>
            <w:noWrap/>
            <w:vAlign w:val="center"/>
            <w:hideMark/>
          </w:tcPr>
          <w:p w14:paraId="1591BD65" w14:textId="77777777" w:rsidR="00E3778E" w:rsidRPr="00E3778E" w:rsidRDefault="00E3778E" w:rsidP="00290AD3">
            <w:pPr>
              <w:spacing w:before="0" w:after="0" w:line="240" w:lineRule="auto"/>
              <w:jc w:val="center"/>
              <w:rPr>
                <w:rFonts w:eastAsia="Times New Roman"/>
                <w:b/>
                <w:bCs/>
                <w:sz w:val="26"/>
                <w:szCs w:val="26"/>
              </w:rPr>
            </w:pPr>
            <w:bookmarkStart w:id="26" w:name="_Toc492828030"/>
            <w:r w:rsidRPr="00E3778E">
              <w:rPr>
                <w:b/>
                <w:sz w:val="26"/>
                <w:szCs w:val="26"/>
              </w:rPr>
              <w:t xml:space="preserve">Table </w:t>
            </w:r>
            <w:r w:rsidRPr="00E3778E">
              <w:rPr>
                <w:b/>
                <w:sz w:val="26"/>
                <w:szCs w:val="26"/>
              </w:rPr>
              <w:fldChar w:fldCharType="begin"/>
            </w:r>
            <w:r w:rsidRPr="00E3778E">
              <w:rPr>
                <w:b/>
                <w:sz w:val="26"/>
                <w:szCs w:val="26"/>
              </w:rPr>
              <w:instrText xml:space="preserve"> SEQ Table \* ARABIC </w:instrText>
            </w:r>
            <w:r w:rsidRPr="00E3778E">
              <w:rPr>
                <w:b/>
                <w:sz w:val="26"/>
                <w:szCs w:val="26"/>
              </w:rPr>
              <w:fldChar w:fldCharType="separate"/>
            </w:r>
            <w:r w:rsidR="0010294F">
              <w:rPr>
                <w:b/>
                <w:noProof/>
                <w:sz w:val="26"/>
                <w:szCs w:val="26"/>
              </w:rPr>
              <w:t>8</w:t>
            </w:r>
            <w:r w:rsidRPr="00E3778E">
              <w:rPr>
                <w:b/>
                <w:sz w:val="26"/>
                <w:szCs w:val="26"/>
              </w:rPr>
              <w:fldChar w:fldCharType="end"/>
            </w:r>
            <w:r w:rsidRPr="00E3778E">
              <w:rPr>
                <w:rFonts w:eastAsia="Times New Roman"/>
                <w:b/>
                <w:bCs/>
                <w:sz w:val="26"/>
                <w:szCs w:val="26"/>
              </w:rPr>
              <w:t>: InTASC Standards by Average Rank with Factors</w:t>
            </w:r>
            <w:bookmarkEnd w:id="26"/>
          </w:p>
        </w:tc>
      </w:tr>
      <w:tr w:rsidR="00E3778E" w:rsidRPr="00E3778E" w14:paraId="55A63E2E" w14:textId="77777777" w:rsidTr="00E3778E">
        <w:trPr>
          <w:trHeight w:val="300"/>
        </w:trPr>
        <w:tc>
          <w:tcPr>
            <w:tcW w:w="1174" w:type="dxa"/>
            <w:tcBorders>
              <w:top w:val="nil"/>
              <w:left w:val="nil"/>
              <w:bottom w:val="single" w:sz="4" w:space="0" w:color="auto"/>
              <w:right w:val="nil"/>
            </w:tcBorders>
            <w:shd w:val="clear" w:color="auto" w:fill="auto"/>
            <w:noWrap/>
            <w:vAlign w:val="bottom"/>
            <w:hideMark/>
          </w:tcPr>
          <w:p w14:paraId="242EE0A9" w14:textId="77777777" w:rsidR="00E3778E" w:rsidRPr="00E3778E" w:rsidRDefault="00E3778E" w:rsidP="00E3778E">
            <w:pPr>
              <w:spacing w:before="0" w:after="0" w:line="240" w:lineRule="auto"/>
              <w:jc w:val="center"/>
              <w:rPr>
                <w:rFonts w:eastAsia="Times New Roman"/>
                <w:b/>
                <w:bCs/>
                <w:color w:val="000000"/>
                <w:sz w:val="22"/>
              </w:rPr>
            </w:pPr>
            <w:r w:rsidRPr="00E3778E">
              <w:rPr>
                <w:rFonts w:eastAsia="Times New Roman"/>
                <w:b/>
                <w:bCs/>
                <w:color w:val="000000"/>
                <w:sz w:val="22"/>
              </w:rPr>
              <w:t>Ave Rank</w:t>
            </w:r>
          </w:p>
        </w:tc>
        <w:tc>
          <w:tcPr>
            <w:tcW w:w="5168" w:type="dxa"/>
            <w:gridSpan w:val="2"/>
            <w:tcBorders>
              <w:top w:val="nil"/>
              <w:left w:val="nil"/>
              <w:bottom w:val="single" w:sz="4" w:space="0" w:color="auto"/>
              <w:right w:val="nil"/>
            </w:tcBorders>
            <w:shd w:val="clear" w:color="auto" w:fill="auto"/>
            <w:noWrap/>
            <w:vAlign w:val="bottom"/>
            <w:hideMark/>
          </w:tcPr>
          <w:p w14:paraId="356D82D2" w14:textId="77777777" w:rsidR="00E3778E" w:rsidRPr="00E3778E" w:rsidRDefault="00E3778E" w:rsidP="00E3778E">
            <w:pPr>
              <w:spacing w:before="0" w:after="0" w:line="240" w:lineRule="auto"/>
              <w:jc w:val="center"/>
              <w:rPr>
                <w:rFonts w:eastAsia="Times New Roman"/>
                <w:b/>
                <w:bCs/>
                <w:sz w:val="26"/>
                <w:szCs w:val="26"/>
              </w:rPr>
            </w:pPr>
            <w:r w:rsidRPr="00E3778E">
              <w:rPr>
                <w:rFonts w:eastAsia="Times New Roman"/>
                <w:b/>
                <w:bCs/>
                <w:sz w:val="22"/>
                <w:szCs w:val="26"/>
              </w:rPr>
              <w:t>Standard</w:t>
            </w:r>
          </w:p>
        </w:tc>
        <w:tc>
          <w:tcPr>
            <w:tcW w:w="3119" w:type="dxa"/>
            <w:tcBorders>
              <w:top w:val="nil"/>
              <w:left w:val="nil"/>
              <w:bottom w:val="single" w:sz="4" w:space="0" w:color="auto"/>
              <w:right w:val="nil"/>
            </w:tcBorders>
            <w:shd w:val="clear" w:color="auto" w:fill="auto"/>
            <w:noWrap/>
            <w:vAlign w:val="bottom"/>
            <w:hideMark/>
          </w:tcPr>
          <w:p w14:paraId="45407A72" w14:textId="77777777" w:rsidR="00E3778E" w:rsidRPr="00E3778E" w:rsidRDefault="00E3778E" w:rsidP="00E3778E">
            <w:pPr>
              <w:spacing w:before="0" w:after="0" w:line="240" w:lineRule="auto"/>
              <w:jc w:val="center"/>
              <w:rPr>
                <w:rFonts w:eastAsia="Times New Roman"/>
                <w:b/>
                <w:bCs/>
                <w:color w:val="000000"/>
                <w:sz w:val="22"/>
              </w:rPr>
            </w:pPr>
            <w:r w:rsidRPr="00E3778E">
              <w:rPr>
                <w:rFonts w:eastAsia="Times New Roman"/>
                <w:b/>
                <w:bCs/>
                <w:color w:val="000000"/>
                <w:sz w:val="22"/>
              </w:rPr>
              <w:t>Factor</w:t>
            </w:r>
          </w:p>
        </w:tc>
      </w:tr>
      <w:tr w:rsidR="00E3778E" w:rsidRPr="00E3778E" w14:paraId="02FF6305" w14:textId="77777777" w:rsidTr="00E3778E">
        <w:trPr>
          <w:trHeight w:val="300"/>
        </w:trPr>
        <w:tc>
          <w:tcPr>
            <w:tcW w:w="1174" w:type="dxa"/>
            <w:tcBorders>
              <w:top w:val="nil"/>
              <w:left w:val="nil"/>
              <w:bottom w:val="nil"/>
              <w:right w:val="nil"/>
            </w:tcBorders>
            <w:shd w:val="clear" w:color="auto" w:fill="auto"/>
            <w:noWrap/>
            <w:vAlign w:val="bottom"/>
            <w:hideMark/>
          </w:tcPr>
          <w:p w14:paraId="65AC5196" w14:textId="77777777" w:rsidR="00E3778E" w:rsidRPr="00E3778E" w:rsidRDefault="00E3778E" w:rsidP="00E3778E">
            <w:pPr>
              <w:spacing w:before="0" w:after="0" w:line="240" w:lineRule="auto"/>
              <w:jc w:val="center"/>
              <w:rPr>
                <w:rFonts w:eastAsia="Times New Roman"/>
                <w:color w:val="000000"/>
                <w:sz w:val="22"/>
              </w:rPr>
            </w:pPr>
            <w:r w:rsidRPr="00E3778E">
              <w:rPr>
                <w:rFonts w:eastAsia="Times New Roman"/>
                <w:color w:val="000000"/>
                <w:sz w:val="22"/>
              </w:rPr>
              <w:t>2.7</w:t>
            </w:r>
          </w:p>
        </w:tc>
        <w:tc>
          <w:tcPr>
            <w:tcW w:w="1336" w:type="dxa"/>
            <w:tcBorders>
              <w:top w:val="nil"/>
              <w:left w:val="nil"/>
              <w:bottom w:val="nil"/>
              <w:right w:val="nil"/>
            </w:tcBorders>
            <w:shd w:val="clear" w:color="auto" w:fill="auto"/>
            <w:noWrap/>
            <w:vAlign w:val="bottom"/>
            <w:hideMark/>
          </w:tcPr>
          <w:p w14:paraId="1EC2D065" w14:textId="77777777" w:rsidR="00E3778E" w:rsidRPr="00E3778E" w:rsidRDefault="00E3778E" w:rsidP="00E3778E">
            <w:pPr>
              <w:spacing w:before="0" w:after="0" w:line="240" w:lineRule="auto"/>
              <w:rPr>
                <w:rFonts w:eastAsia="Times New Roman"/>
                <w:b/>
                <w:bCs/>
                <w:color w:val="FF0000"/>
                <w:sz w:val="22"/>
              </w:rPr>
            </w:pPr>
            <w:r w:rsidRPr="00E3778E">
              <w:rPr>
                <w:rFonts w:eastAsia="Times New Roman"/>
                <w:b/>
                <w:bCs/>
                <w:color w:val="FF0000"/>
                <w:sz w:val="22"/>
              </w:rPr>
              <w:t>InTASC 2</w:t>
            </w:r>
          </w:p>
        </w:tc>
        <w:tc>
          <w:tcPr>
            <w:tcW w:w="3832" w:type="dxa"/>
            <w:tcBorders>
              <w:top w:val="nil"/>
              <w:left w:val="nil"/>
              <w:bottom w:val="nil"/>
              <w:right w:val="nil"/>
            </w:tcBorders>
            <w:shd w:val="clear" w:color="auto" w:fill="auto"/>
            <w:noWrap/>
            <w:vAlign w:val="bottom"/>
            <w:hideMark/>
          </w:tcPr>
          <w:p w14:paraId="32C1718F" w14:textId="77777777" w:rsidR="00E3778E" w:rsidRPr="00E3778E" w:rsidRDefault="00E3778E" w:rsidP="00E3778E">
            <w:pPr>
              <w:spacing w:before="0" w:after="0" w:line="240" w:lineRule="auto"/>
              <w:rPr>
                <w:rFonts w:eastAsia="Times New Roman"/>
                <w:b/>
                <w:bCs/>
                <w:color w:val="FF0000"/>
                <w:sz w:val="22"/>
              </w:rPr>
            </w:pPr>
            <w:r w:rsidRPr="00E3778E">
              <w:rPr>
                <w:rFonts w:eastAsia="Times New Roman"/>
                <w:b/>
                <w:bCs/>
                <w:color w:val="FF0000"/>
                <w:sz w:val="22"/>
              </w:rPr>
              <w:t>Learning Differences</w:t>
            </w:r>
          </w:p>
        </w:tc>
        <w:tc>
          <w:tcPr>
            <w:tcW w:w="3119" w:type="dxa"/>
            <w:tcBorders>
              <w:top w:val="nil"/>
              <w:left w:val="nil"/>
              <w:bottom w:val="nil"/>
              <w:right w:val="nil"/>
            </w:tcBorders>
            <w:shd w:val="clear" w:color="auto" w:fill="auto"/>
            <w:noWrap/>
            <w:vAlign w:val="center"/>
            <w:hideMark/>
          </w:tcPr>
          <w:p w14:paraId="422E3DA3" w14:textId="77777777" w:rsidR="00E3778E" w:rsidRPr="00E3778E" w:rsidRDefault="00E3778E" w:rsidP="00E3778E">
            <w:pPr>
              <w:spacing w:before="0" w:after="0" w:line="240" w:lineRule="auto"/>
              <w:rPr>
                <w:rFonts w:eastAsia="Times New Roman"/>
                <w:b/>
                <w:bCs/>
                <w:color w:val="FF0000"/>
                <w:sz w:val="22"/>
              </w:rPr>
            </w:pPr>
            <w:r w:rsidRPr="00E3778E">
              <w:rPr>
                <w:rFonts w:eastAsia="Times New Roman"/>
                <w:b/>
                <w:bCs/>
                <w:color w:val="FF0000"/>
                <w:sz w:val="22"/>
              </w:rPr>
              <w:t>The Learner and Learning</w:t>
            </w:r>
          </w:p>
        </w:tc>
      </w:tr>
      <w:tr w:rsidR="00E3778E" w:rsidRPr="00E3778E" w14:paraId="7A947CAD" w14:textId="77777777" w:rsidTr="00E3778E">
        <w:trPr>
          <w:trHeight w:val="300"/>
        </w:trPr>
        <w:tc>
          <w:tcPr>
            <w:tcW w:w="1174" w:type="dxa"/>
            <w:tcBorders>
              <w:top w:val="nil"/>
              <w:left w:val="nil"/>
              <w:bottom w:val="nil"/>
              <w:right w:val="nil"/>
            </w:tcBorders>
            <w:shd w:val="clear" w:color="auto" w:fill="auto"/>
            <w:noWrap/>
            <w:vAlign w:val="bottom"/>
            <w:hideMark/>
          </w:tcPr>
          <w:p w14:paraId="1A867143" w14:textId="77777777" w:rsidR="00E3778E" w:rsidRPr="00E3778E" w:rsidRDefault="00E3778E" w:rsidP="00E3778E">
            <w:pPr>
              <w:spacing w:before="0" w:after="0" w:line="240" w:lineRule="auto"/>
              <w:jc w:val="center"/>
              <w:rPr>
                <w:rFonts w:eastAsia="Times New Roman"/>
                <w:color w:val="000000"/>
                <w:sz w:val="22"/>
              </w:rPr>
            </w:pPr>
            <w:r w:rsidRPr="00E3778E">
              <w:rPr>
                <w:rFonts w:eastAsia="Times New Roman"/>
                <w:color w:val="000000"/>
                <w:sz w:val="22"/>
              </w:rPr>
              <w:t>3.7</w:t>
            </w:r>
          </w:p>
        </w:tc>
        <w:tc>
          <w:tcPr>
            <w:tcW w:w="1336" w:type="dxa"/>
            <w:tcBorders>
              <w:top w:val="nil"/>
              <w:left w:val="nil"/>
              <w:bottom w:val="nil"/>
              <w:right w:val="nil"/>
            </w:tcBorders>
            <w:shd w:val="clear" w:color="auto" w:fill="auto"/>
            <w:noWrap/>
            <w:vAlign w:val="bottom"/>
            <w:hideMark/>
          </w:tcPr>
          <w:p w14:paraId="32B3E4E5" w14:textId="77777777" w:rsidR="00E3778E" w:rsidRPr="00E3778E" w:rsidRDefault="00E3778E" w:rsidP="00E3778E">
            <w:pPr>
              <w:spacing w:before="0" w:after="0" w:line="240" w:lineRule="auto"/>
              <w:rPr>
                <w:rFonts w:eastAsia="Times New Roman"/>
                <w:b/>
                <w:bCs/>
                <w:color w:val="00B0F0"/>
                <w:sz w:val="22"/>
              </w:rPr>
            </w:pPr>
            <w:r w:rsidRPr="00E3778E">
              <w:rPr>
                <w:rFonts w:eastAsia="Times New Roman"/>
                <w:b/>
                <w:bCs/>
                <w:color w:val="00B0F0"/>
                <w:sz w:val="22"/>
              </w:rPr>
              <w:t>InTASC 4</w:t>
            </w:r>
          </w:p>
        </w:tc>
        <w:tc>
          <w:tcPr>
            <w:tcW w:w="3832" w:type="dxa"/>
            <w:tcBorders>
              <w:top w:val="nil"/>
              <w:left w:val="nil"/>
              <w:bottom w:val="nil"/>
              <w:right w:val="nil"/>
            </w:tcBorders>
            <w:shd w:val="clear" w:color="auto" w:fill="auto"/>
            <w:noWrap/>
            <w:vAlign w:val="bottom"/>
            <w:hideMark/>
          </w:tcPr>
          <w:p w14:paraId="3A60EF99" w14:textId="77777777" w:rsidR="00E3778E" w:rsidRPr="00E3778E" w:rsidRDefault="00E3778E" w:rsidP="00E3778E">
            <w:pPr>
              <w:spacing w:before="0" w:after="0" w:line="240" w:lineRule="auto"/>
              <w:rPr>
                <w:rFonts w:eastAsia="Times New Roman"/>
                <w:b/>
                <w:bCs/>
                <w:color w:val="00B0F0"/>
                <w:sz w:val="22"/>
              </w:rPr>
            </w:pPr>
            <w:r w:rsidRPr="00E3778E">
              <w:rPr>
                <w:rFonts w:eastAsia="Times New Roman"/>
                <w:b/>
                <w:bCs/>
                <w:color w:val="00B0F0"/>
                <w:sz w:val="22"/>
              </w:rPr>
              <w:t>Content Knowledge</w:t>
            </w:r>
          </w:p>
        </w:tc>
        <w:tc>
          <w:tcPr>
            <w:tcW w:w="3119" w:type="dxa"/>
            <w:tcBorders>
              <w:top w:val="nil"/>
              <w:left w:val="nil"/>
              <w:bottom w:val="nil"/>
              <w:right w:val="nil"/>
            </w:tcBorders>
            <w:shd w:val="clear" w:color="auto" w:fill="auto"/>
            <w:noWrap/>
            <w:vAlign w:val="center"/>
            <w:hideMark/>
          </w:tcPr>
          <w:p w14:paraId="33D48238" w14:textId="77777777" w:rsidR="00E3778E" w:rsidRPr="00E3778E" w:rsidRDefault="00E3778E" w:rsidP="00E3778E">
            <w:pPr>
              <w:spacing w:before="0" w:after="0" w:line="240" w:lineRule="auto"/>
              <w:rPr>
                <w:rFonts w:eastAsia="Times New Roman"/>
                <w:b/>
                <w:bCs/>
                <w:color w:val="00B0F0"/>
                <w:sz w:val="22"/>
              </w:rPr>
            </w:pPr>
            <w:r w:rsidRPr="00E3778E">
              <w:rPr>
                <w:rFonts w:eastAsia="Times New Roman"/>
                <w:b/>
                <w:bCs/>
                <w:color w:val="00B0F0"/>
                <w:sz w:val="22"/>
              </w:rPr>
              <w:t>Content Knowledge</w:t>
            </w:r>
          </w:p>
        </w:tc>
      </w:tr>
      <w:tr w:rsidR="00E3778E" w:rsidRPr="00E3778E" w14:paraId="7E940B4E" w14:textId="77777777" w:rsidTr="00E3778E">
        <w:trPr>
          <w:trHeight w:val="300"/>
        </w:trPr>
        <w:tc>
          <w:tcPr>
            <w:tcW w:w="1174" w:type="dxa"/>
            <w:tcBorders>
              <w:top w:val="nil"/>
              <w:left w:val="nil"/>
              <w:bottom w:val="nil"/>
              <w:right w:val="nil"/>
            </w:tcBorders>
            <w:shd w:val="clear" w:color="auto" w:fill="auto"/>
            <w:noWrap/>
            <w:vAlign w:val="bottom"/>
            <w:hideMark/>
          </w:tcPr>
          <w:p w14:paraId="2D7FECFD" w14:textId="77777777" w:rsidR="00E3778E" w:rsidRPr="00E3778E" w:rsidRDefault="00E3778E" w:rsidP="00E3778E">
            <w:pPr>
              <w:spacing w:before="0" w:after="0" w:line="240" w:lineRule="auto"/>
              <w:jc w:val="center"/>
              <w:rPr>
                <w:rFonts w:eastAsia="Times New Roman"/>
                <w:color w:val="000000"/>
                <w:sz w:val="22"/>
              </w:rPr>
            </w:pPr>
            <w:r w:rsidRPr="00E3778E">
              <w:rPr>
                <w:rFonts w:eastAsia="Times New Roman"/>
                <w:color w:val="000000"/>
                <w:sz w:val="22"/>
              </w:rPr>
              <w:t>4.0</w:t>
            </w:r>
          </w:p>
        </w:tc>
        <w:tc>
          <w:tcPr>
            <w:tcW w:w="1336" w:type="dxa"/>
            <w:tcBorders>
              <w:top w:val="nil"/>
              <w:left w:val="nil"/>
              <w:bottom w:val="nil"/>
              <w:right w:val="nil"/>
            </w:tcBorders>
            <w:shd w:val="clear" w:color="auto" w:fill="auto"/>
            <w:noWrap/>
            <w:vAlign w:val="bottom"/>
            <w:hideMark/>
          </w:tcPr>
          <w:p w14:paraId="1FB36E5E" w14:textId="77777777" w:rsidR="00E3778E" w:rsidRPr="00E3778E" w:rsidRDefault="00E3778E" w:rsidP="00E3778E">
            <w:pPr>
              <w:spacing w:before="0" w:after="0" w:line="240" w:lineRule="auto"/>
              <w:rPr>
                <w:rFonts w:eastAsia="Times New Roman"/>
                <w:b/>
                <w:bCs/>
                <w:color w:val="00B050"/>
                <w:sz w:val="22"/>
              </w:rPr>
            </w:pPr>
            <w:r w:rsidRPr="00E3778E">
              <w:rPr>
                <w:rFonts w:eastAsia="Times New Roman"/>
                <w:b/>
                <w:bCs/>
                <w:color w:val="00B050"/>
                <w:sz w:val="22"/>
              </w:rPr>
              <w:t>InTASC 6</w:t>
            </w:r>
          </w:p>
        </w:tc>
        <w:tc>
          <w:tcPr>
            <w:tcW w:w="3832" w:type="dxa"/>
            <w:tcBorders>
              <w:top w:val="nil"/>
              <w:left w:val="nil"/>
              <w:bottom w:val="nil"/>
              <w:right w:val="nil"/>
            </w:tcBorders>
            <w:shd w:val="clear" w:color="auto" w:fill="auto"/>
            <w:noWrap/>
            <w:vAlign w:val="bottom"/>
            <w:hideMark/>
          </w:tcPr>
          <w:p w14:paraId="419DD86D" w14:textId="77777777" w:rsidR="00E3778E" w:rsidRPr="00E3778E" w:rsidRDefault="00E3778E" w:rsidP="00E3778E">
            <w:pPr>
              <w:spacing w:before="0" w:after="0" w:line="240" w:lineRule="auto"/>
              <w:rPr>
                <w:rFonts w:eastAsia="Times New Roman"/>
                <w:b/>
                <w:bCs/>
                <w:color w:val="00B050"/>
                <w:sz w:val="22"/>
              </w:rPr>
            </w:pPr>
            <w:r w:rsidRPr="00E3778E">
              <w:rPr>
                <w:rFonts w:eastAsia="Times New Roman"/>
                <w:b/>
                <w:bCs/>
                <w:color w:val="00B050"/>
                <w:sz w:val="22"/>
              </w:rPr>
              <w:t>Assessment</w:t>
            </w:r>
          </w:p>
        </w:tc>
        <w:tc>
          <w:tcPr>
            <w:tcW w:w="3119" w:type="dxa"/>
            <w:tcBorders>
              <w:top w:val="nil"/>
              <w:left w:val="nil"/>
              <w:bottom w:val="nil"/>
              <w:right w:val="nil"/>
            </w:tcBorders>
            <w:shd w:val="clear" w:color="auto" w:fill="auto"/>
            <w:noWrap/>
            <w:vAlign w:val="center"/>
            <w:hideMark/>
          </w:tcPr>
          <w:p w14:paraId="5F84A3FD" w14:textId="77777777" w:rsidR="00E3778E" w:rsidRPr="00E3778E" w:rsidRDefault="00E3778E" w:rsidP="00E3778E">
            <w:pPr>
              <w:spacing w:before="0" w:after="0" w:line="240" w:lineRule="auto"/>
              <w:rPr>
                <w:rFonts w:eastAsia="Times New Roman"/>
                <w:b/>
                <w:bCs/>
                <w:color w:val="00B050"/>
                <w:sz w:val="22"/>
              </w:rPr>
            </w:pPr>
            <w:r w:rsidRPr="00E3778E">
              <w:rPr>
                <w:rFonts w:eastAsia="Times New Roman"/>
                <w:b/>
                <w:bCs/>
                <w:color w:val="00B050"/>
                <w:sz w:val="22"/>
              </w:rPr>
              <w:t>Instructional Practice</w:t>
            </w:r>
          </w:p>
        </w:tc>
      </w:tr>
      <w:tr w:rsidR="00E3778E" w:rsidRPr="00E3778E" w14:paraId="6A9439BD" w14:textId="77777777" w:rsidTr="00E3778E">
        <w:trPr>
          <w:trHeight w:val="300"/>
        </w:trPr>
        <w:tc>
          <w:tcPr>
            <w:tcW w:w="1174" w:type="dxa"/>
            <w:tcBorders>
              <w:top w:val="nil"/>
              <w:left w:val="nil"/>
              <w:bottom w:val="nil"/>
              <w:right w:val="nil"/>
            </w:tcBorders>
            <w:shd w:val="clear" w:color="auto" w:fill="auto"/>
            <w:noWrap/>
            <w:vAlign w:val="bottom"/>
            <w:hideMark/>
          </w:tcPr>
          <w:p w14:paraId="1082ACD8" w14:textId="77777777" w:rsidR="00E3778E" w:rsidRPr="00E3778E" w:rsidRDefault="00E3778E" w:rsidP="00E3778E">
            <w:pPr>
              <w:spacing w:before="0" w:after="0" w:line="240" w:lineRule="auto"/>
              <w:jc w:val="center"/>
              <w:rPr>
                <w:rFonts w:eastAsia="Times New Roman"/>
                <w:color w:val="000000"/>
                <w:sz w:val="22"/>
              </w:rPr>
            </w:pPr>
            <w:r w:rsidRPr="00E3778E">
              <w:rPr>
                <w:rFonts w:eastAsia="Times New Roman"/>
                <w:color w:val="000000"/>
                <w:sz w:val="22"/>
              </w:rPr>
              <w:t>5.0</w:t>
            </w:r>
          </w:p>
        </w:tc>
        <w:tc>
          <w:tcPr>
            <w:tcW w:w="1336" w:type="dxa"/>
            <w:tcBorders>
              <w:top w:val="nil"/>
              <w:left w:val="nil"/>
              <w:bottom w:val="nil"/>
              <w:right w:val="nil"/>
            </w:tcBorders>
            <w:shd w:val="clear" w:color="auto" w:fill="auto"/>
            <w:noWrap/>
            <w:vAlign w:val="bottom"/>
            <w:hideMark/>
          </w:tcPr>
          <w:p w14:paraId="002D978A" w14:textId="77777777" w:rsidR="00E3778E" w:rsidRPr="00E3778E" w:rsidRDefault="00E3778E" w:rsidP="00E3778E">
            <w:pPr>
              <w:spacing w:before="0" w:after="0" w:line="240" w:lineRule="auto"/>
              <w:rPr>
                <w:rFonts w:eastAsia="Times New Roman"/>
                <w:b/>
                <w:bCs/>
                <w:color w:val="FF0000"/>
                <w:sz w:val="22"/>
              </w:rPr>
            </w:pPr>
            <w:r w:rsidRPr="00E3778E">
              <w:rPr>
                <w:rFonts w:eastAsia="Times New Roman"/>
                <w:b/>
                <w:bCs/>
                <w:color w:val="FF0000"/>
                <w:sz w:val="22"/>
              </w:rPr>
              <w:t>InTASC 1</w:t>
            </w:r>
          </w:p>
        </w:tc>
        <w:tc>
          <w:tcPr>
            <w:tcW w:w="3832" w:type="dxa"/>
            <w:tcBorders>
              <w:top w:val="nil"/>
              <w:left w:val="nil"/>
              <w:bottom w:val="nil"/>
              <w:right w:val="nil"/>
            </w:tcBorders>
            <w:shd w:val="clear" w:color="auto" w:fill="auto"/>
            <w:noWrap/>
            <w:vAlign w:val="bottom"/>
            <w:hideMark/>
          </w:tcPr>
          <w:p w14:paraId="701B3E08" w14:textId="77777777" w:rsidR="00E3778E" w:rsidRPr="00E3778E" w:rsidRDefault="00E3778E" w:rsidP="00E3778E">
            <w:pPr>
              <w:spacing w:before="0" w:after="0" w:line="240" w:lineRule="auto"/>
              <w:rPr>
                <w:rFonts w:eastAsia="Times New Roman"/>
                <w:b/>
                <w:bCs/>
                <w:color w:val="FF0000"/>
                <w:sz w:val="22"/>
              </w:rPr>
            </w:pPr>
            <w:r w:rsidRPr="00E3778E">
              <w:rPr>
                <w:rFonts w:eastAsia="Times New Roman"/>
                <w:b/>
                <w:bCs/>
                <w:color w:val="FF0000"/>
                <w:sz w:val="22"/>
              </w:rPr>
              <w:t>Learner Development</w:t>
            </w:r>
          </w:p>
        </w:tc>
        <w:tc>
          <w:tcPr>
            <w:tcW w:w="3119" w:type="dxa"/>
            <w:tcBorders>
              <w:top w:val="nil"/>
              <w:left w:val="nil"/>
              <w:bottom w:val="nil"/>
              <w:right w:val="nil"/>
            </w:tcBorders>
            <w:shd w:val="clear" w:color="auto" w:fill="auto"/>
            <w:noWrap/>
            <w:vAlign w:val="center"/>
            <w:hideMark/>
          </w:tcPr>
          <w:p w14:paraId="60279BE3" w14:textId="77777777" w:rsidR="00E3778E" w:rsidRPr="00E3778E" w:rsidRDefault="00E3778E" w:rsidP="00E3778E">
            <w:pPr>
              <w:spacing w:before="0" w:after="0" w:line="240" w:lineRule="auto"/>
              <w:rPr>
                <w:rFonts w:eastAsia="Times New Roman"/>
                <w:b/>
                <w:bCs/>
                <w:color w:val="FF0000"/>
                <w:sz w:val="22"/>
              </w:rPr>
            </w:pPr>
            <w:r w:rsidRPr="00E3778E">
              <w:rPr>
                <w:rFonts w:eastAsia="Times New Roman"/>
                <w:b/>
                <w:bCs/>
                <w:color w:val="FF0000"/>
                <w:sz w:val="22"/>
              </w:rPr>
              <w:t>The Learner and Learning</w:t>
            </w:r>
          </w:p>
        </w:tc>
      </w:tr>
      <w:tr w:rsidR="00E3778E" w:rsidRPr="00E3778E" w14:paraId="652290AF" w14:textId="77777777" w:rsidTr="00E3778E">
        <w:trPr>
          <w:trHeight w:val="198"/>
        </w:trPr>
        <w:tc>
          <w:tcPr>
            <w:tcW w:w="1174" w:type="dxa"/>
            <w:tcBorders>
              <w:top w:val="nil"/>
              <w:left w:val="nil"/>
              <w:bottom w:val="nil"/>
              <w:right w:val="nil"/>
            </w:tcBorders>
            <w:shd w:val="clear" w:color="auto" w:fill="auto"/>
            <w:noWrap/>
            <w:vAlign w:val="bottom"/>
            <w:hideMark/>
          </w:tcPr>
          <w:p w14:paraId="5378058A" w14:textId="77777777" w:rsidR="00E3778E" w:rsidRPr="00E3778E" w:rsidRDefault="00E3778E" w:rsidP="00E3778E">
            <w:pPr>
              <w:spacing w:before="0" w:after="0" w:line="240" w:lineRule="auto"/>
              <w:jc w:val="center"/>
              <w:rPr>
                <w:rFonts w:eastAsia="Times New Roman"/>
                <w:color w:val="000000"/>
                <w:sz w:val="22"/>
              </w:rPr>
            </w:pPr>
            <w:r w:rsidRPr="00E3778E">
              <w:rPr>
                <w:rFonts w:eastAsia="Times New Roman"/>
                <w:color w:val="000000"/>
                <w:sz w:val="22"/>
              </w:rPr>
              <w:t>5.3</w:t>
            </w:r>
          </w:p>
        </w:tc>
        <w:tc>
          <w:tcPr>
            <w:tcW w:w="1336" w:type="dxa"/>
            <w:tcBorders>
              <w:top w:val="nil"/>
              <w:left w:val="nil"/>
              <w:bottom w:val="nil"/>
              <w:right w:val="nil"/>
            </w:tcBorders>
            <w:shd w:val="clear" w:color="auto" w:fill="auto"/>
            <w:noWrap/>
            <w:vAlign w:val="bottom"/>
            <w:hideMark/>
          </w:tcPr>
          <w:p w14:paraId="3E795EF7" w14:textId="77777777" w:rsidR="00E3778E" w:rsidRPr="00E3778E" w:rsidRDefault="00E3778E" w:rsidP="00E3778E">
            <w:pPr>
              <w:spacing w:before="0" w:after="0" w:line="240" w:lineRule="auto"/>
              <w:rPr>
                <w:rFonts w:eastAsia="Times New Roman"/>
                <w:b/>
                <w:bCs/>
                <w:color w:val="00B0F0"/>
                <w:sz w:val="22"/>
              </w:rPr>
            </w:pPr>
            <w:r w:rsidRPr="00E3778E">
              <w:rPr>
                <w:rFonts w:eastAsia="Times New Roman"/>
                <w:b/>
                <w:bCs/>
                <w:color w:val="00B0F0"/>
                <w:sz w:val="22"/>
              </w:rPr>
              <w:t>InTASC 5</w:t>
            </w:r>
          </w:p>
        </w:tc>
        <w:tc>
          <w:tcPr>
            <w:tcW w:w="3832" w:type="dxa"/>
            <w:tcBorders>
              <w:top w:val="nil"/>
              <w:left w:val="nil"/>
              <w:bottom w:val="nil"/>
              <w:right w:val="nil"/>
            </w:tcBorders>
            <w:shd w:val="clear" w:color="auto" w:fill="auto"/>
            <w:noWrap/>
            <w:vAlign w:val="bottom"/>
            <w:hideMark/>
          </w:tcPr>
          <w:p w14:paraId="513D0FC8" w14:textId="77777777" w:rsidR="00E3778E" w:rsidRPr="00E3778E" w:rsidRDefault="00E3778E" w:rsidP="00E3778E">
            <w:pPr>
              <w:spacing w:before="0" w:after="0" w:line="240" w:lineRule="auto"/>
              <w:rPr>
                <w:rFonts w:eastAsia="Times New Roman"/>
                <w:b/>
                <w:bCs/>
                <w:color w:val="00B0F0"/>
                <w:sz w:val="22"/>
              </w:rPr>
            </w:pPr>
            <w:r w:rsidRPr="00E3778E">
              <w:rPr>
                <w:rFonts w:eastAsia="Times New Roman"/>
                <w:b/>
                <w:bCs/>
                <w:color w:val="00B0F0"/>
                <w:sz w:val="22"/>
              </w:rPr>
              <w:t>Application of Content</w:t>
            </w:r>
          </w:p>
        </w:tc>
        <w:tc>
          <w:tcPr>
            <w:tcW w:w="3119" w:type="dxa"/>
            <w:tcBorders>
              <w:top w:val="nil"/>
              <w:left w:val="nil"/>
              <w:bottom w:val="nil"/>
              <w:right w:val="nil"/>
            </w:tcBorders>
            <w:shd w:val="clear" w:color="auto" w:fill="auto"/>
            <w:noWrap/>
            <w:vAlign w:val="center"/>
            <w:hideMark/>
          </w:tcPr>
          <w:p w14:paraId="2E9354A2" w14:textId="77777777" w:rsidR="00E3778E" w:rsidRPr="00E3778E" w:rsidRDefault="00E3778E" w:rsidP="00E3778E">
            <w:pPr>
              <w:spacing w:before="0" w:after="0" w:line="240" w:lineRule="auto"/>
              <w:rPr>
                <w:rFonts w:eastAsia="Times New Roman"/>
                <w:b/>
                <w:bCs/>
                <w:color w:val="00B0F0"/>
                <w:sz w:val="22"/>
              </w:rPr>
            </w:pPr>
            <w:r w:rsidRPr="00E3778E">
              <w:rPr>
                <w:rFonts w:eastAsia="Times New Roman"/>
                <w:b/>
                <w:bCs/>
                <w:color w:val="00B0F0"/>
                <w:sz w:val="22"/>
              </w:rPr>
              <w:t>Content Knowledge</w:t>
            </w:r>
          </w:p>
        </w:tc>
      </w:tr>
      <w:tr w:rsidR="00E3778E" w:rsidRPr="00E3778E" w14:paraId="2A9374C8" w14:textId="77777777" w:rsidTr="00E3778E">
        <w:trPr>
          <w:trHeight w:val="300"/>
        </w:trPr>
        <w:tc>
          <w:tcPr>
            <w:tcW w:w="1174" w:type="dxa"/>
            <w:tcBorders>
              <w:top w:val="nil"/>
              <w:left w:val="nil"/>
              <w:bottom w:val="nil"/>
              <w:right w:val="nil"/>
            </w:tcBorders>
            <w:shd w:val="clear" w:color="auto" w:fill="auto"/>
            <w:noWrap/>
            <w:vAlign w:val="bottom"/>
            <w:hideMark/>
          </w:tcPr>
          <w:p w14:paraId="7A156E80" w14:textId="77777777" w:rsidR="00E3778E" w:rsidRPr="00E3778E" w:rsidRDefault="00E3778E" w:rsidP="00E3778E">
            <w:pPr>
              <w:spacing w:before="0" w:after="0" w:line="240" w:lineRule="auto"/>
              <w:jc w:val="center"/>
              <w:rPr>
                <w:rFonts w:eastAsia="Times New Roman"/>
                <w:color w:val="000000"/>
                <w:sz w:val="22"/>
              </w:rPr>
            </w:pPr>
            <w:r w:rsidRPr="00E3778E">
              <w:rPr>
                <w:rFonts w:eastAsia="Times New Roman"/>
                <w:color w:val="000000"/>
                <w:sz w:val="22"/>
              </w:rPr>
              <w:t>5.3</w:t>
            </w:r>
          </w:p>
        </w:tc>
        <w:tc>
          <w:tcPr>
            <w:tcW w:w="1336" w:type="dxa"/>
            <w:tcBorders>
              <w:top w:val="nil"/>
              <w:left w:val="nil"/>
              <w:bottom w:val="nil"/>
              <w:right w:val="nil"/>
            </w:tcBorders>
            <w:shd w:val="clear" w:color="auto" w:fill="auto"/>
            <w:noWrap/>
            <w:vAlign w:val="bottom"/>
            <w:hideMark/>
          </w:tcPr>
          <w:p w14:paraId="233D180B" w14:textId="77777777" w:rsidR="00E3778E" w:rsidRPr="00E3778E" w:rsidRDefault="00E3778E" w:rsidP="00E3778E">
            <w:pPr>
              <w:spacing w:before="0" w:after="0" w:line="240" w:lineRule="auto"/>
              <w:rPr>
                <w:rFonts w:eastAsia="Times New Roman"/>
                <w:b/>
                <w:bCs/>
                <w:color w:val="00B050"/>
                <w:sz w:val="22"/>
              </w:rPr>
            </w:pPr>
            <w:r w:rsidRPr="00E3778E">
              <w:rPr>
                <w:rFonts w:eastAsia="Times New Roman"/>
                <w:b/>
                <w:bCs/>
                <w:color w:val="00B050"/>
                <w:sz w:val="22"/>
              </w:rPr>
              <w:t>InTASC 7</w:t>
            </w:r>
          </w:p>
        </w:tc>
        <w:tc>
          <w:tcPr>
            <w:tcW w:w="3832" w:type="dxa"/>
            <w:tcBorders>
              <w:top w:val="nil"/>
              <w:left w:val="nil"/>
              <w:bottom w:val="nil"/>
              <w:right w:val="nil"/>
            </w:tcBorders>
            <w:shd w:val="clear" w:color="auto" w:fill="auto"/>
            <w:noWrap/>
            <w:vAlign w:val="bottom"/>
            <w:hideMark/>
          </w:tcPr>
          <w:p w14:paraId="79D01511" w14:textId="77777777" w:rsidR="00E3778E" w:rsidRPr="00E3778E" w:rsidRDefault="00E3778E" w:rsidP="00E3778E">
            <w:pPr>
              <w:spacing w:before="0" w:after="0" w:line="240" w:lineRule="auto"/>
              <w:rPr>
                <w:rFonts w:eastAsia="Times New Roman"/>
                <w:b/>
                <w:bCs/>
                <w:color w:val="00B050"/>
                <w:sz w:val="22"/>
              </w:rPr>
            </w:pPr>
            <w:r w:rsidRPr="00E3778E">
              <w:rPr>
                <w:rFonts w:eastAsia="Times New Roman"/>
                <w:b/>
                <w:bCs/>
                <w:color w:val="00B050"/>
                <w:sz w:val="22"/>
              </w:rPr>
              <w:t>Planning for Instruction</w:t>
            </w:r>
          </w:p>
        </w:tc>
        <w:tc>
          <w:tcPr>
            <w:tcW w:w="3119" w:type="dxa"/>
            <w:tcBorders>
              <w:top w:val="nil"/>
              <w:left w:val="nil"/>
              <w:bottom w:val="nil"/>
              <w:right w:val="nil"/>
            </w:tcBorders>
            <w:shd w:val="clear" w:color="auto" w:fill="auto"/>
            <w:noWrap/>
            <w:vAlign w:val="center"/>
            <w:hideMark/>
          </w:tcPr>
          <w:p w14:paraId="3EC51A6C" w14:textId="77777777" w:rsidR="00E3778E" w:rsidRPr="00E3778E" w:rsidRDefault="00E3778E" w:rsidP="00E3778E">
            <w:pPr>
              <w:spacing w:before="0" w:after="0" w:line="240" w:lineRule="auto"/>
              <w:rPr>
                <w:rFonts w:eastAsia="Times New Roman"/>
                <w:b/>
                <w:bCs/>
                <w:color w:val="00B050"/>
                <w:sz w:val="22"/>
              </w:rPr>
            </w:pPr>
            <w:r w:rsidRPr="00E3778E">
              <w:rPr>
                <w:rFonts w:eastAsia="Times New Roman"/>
                <w:b/>
                <w:bCs/>
                <w:color w:val="00B050"/>
                <w:sz w:val="22"/>
              </w:rPr>
              <w:t>Instructional Practice</w:t>
            </w:r>
          </w:p>
        </w:tc>
      </w:tr>
      <w:tr w:rsidR="00E3778E" w:rsidRPr="00E3778E" w14:paraId="3CE94F58" w14:textId="77777777" w:rsidTr="00E3778E">
        <w:trPr>
          <w:trHeight w:val="300"/>
        </w:trPr>
        <w:tc>
          <w:tcPr>
            <w:tcW w:w="1174" w:type="dxa"/>
            <w:tcBorders>
              <w:top w:val="nil"/>
              <w:left w:val="nil"/>
              <w:bottom w:val="nil"/>
              <w:right w:val="nil"/>
            </w:tcBorders>
            <w:shd w:val="clear" w:color="auto" w:fill="auto"/>
            <w:noWrap/>
            <w:vAlign w:val="bottom"/>
            <w:hideMark/>
          </w:tcPr>
          <w:p w14:paraId="75F3E46F" w14:textId="77777777" w:rsidR="00E3778E" w:rsidRPr="00E3778E" w:rsidRDefault="00E3778E" w:rsidP="00E3778E">
            <w:pPr>
              <w:spacing w:before="0" w:after="0" w:line="240" w:lineRule="auto"/>
              <w:jc w:val="center"/>
              <w:rPr>
                <w:rFonts w:eastAsia="Times New Roman"/>
                <w:color w:val="000000"/>
                <w:sz w:val="22"/>
              </w:rPr>
            </w:pPr>
            <w:r w:rsidRPr="00E3778E">
              <w:rPr>
                <w:rFonts w:eastAsia="Times New Roman"/>
                <w:color w:val="000000"/>
                <w:sz w:val="22"/>
              </w:rPr>
              <w:t>5.3</w:t>
            </w:r>
          </w:p>
        </w:tc>
        <w:tc>
          <w:tcPr>
            <w:tcW w:w="1336" w:type="dxa"/>
            <w:tcBorders>
              <w:top w:val="nil"/>
              <w:left w:val="nil"/>
              <w:bottom w:val="nil"/>
              <w:right w:val="nil"/>
            </w:tcBorders>
            <w:shd w:val="clear" w:color="auto" w:fill="auto"/>
            <w:noWrap/>
            <w:vAlign w:val="bottom"/>
            <w:hideMark/>
          </w:tcPr>
          <w:p w14:paraId="288F76FA" w14:textId="77777777" w:rsidR="00E3778E" w:rsidRPr="00E3778E" w:rsidRDefault="00E3778E" w:rsidP="00E3778E">
            <w:pPr>
              <w:spacing w:before="0" w:after="0" w:line="240" w:lineRule="auto"/>
              <w:rPr>
                <w:rFonts w:eastAsia="Times New Roman"/>
                <w:b/>
                <w:bCs/>
                <w:color w:val="00B050"/>
                <w:sz w:val="22"/>
              </w:rPr>
            </w:pPr>
            <w:r w:rsidRPr="00E3778E">
              <w:rPr>
                <w:rFonts w:eastAsia="Times New Roman"/>
                <w:b/>
                <w:bCs/>
                <w:color w:val="00B050"/>
                <w:sz w:val="22"/>
              </w:rPr>
              <w:t>InTASC 8</w:t>
            </w:r>
          </w:p>
        </w:tc>
        <w:tc>
          <w:tcPr>
            <w:tcW w:w="3832" w:type="dxa"/>
            <w:tcBorders>
              <w:top w:val="nil"/>
              <w:left w:val="nil"/>
              <w:bottom w:val="nil"/>
              <w:right w:val="nil"/>
            </w:tcBorders>
            <w:shd w:val="clear" w:color="auto" w:fill="auto"/>
            <w:noWrap/>
            <w:vAlign w:val="bottom"/>
            <w:hideMark/>
          </w:tcPr>
          <w:p w14:paraId="22D42A04" w14:textId="77777777" w:rsidR="00E3778E" w:rsidRPr="00E3778E" w:rsidRDefault="00E3778E" w:rsidP="00E3778E">
            <w:pPr>
              <w:spacing w:before="0" w:after="0" w:line="240" w:lineRule="auto"/>
              <w:rPr>
                <w:rFonts w:eastAsia="Times New Roman"/>
                <w:b/>
                <w:bCs/>
                <w:color w:val="00B050"/>
                <w:sz w:val="22"/>
              </w:rPr>
            </w:pPr>
            <w:r w:rsidRPr="00E3778E">
              <w:rPr>
                <w:rFonts w:eastAsia="Times New Roman"/>
                <w:b/>
                <w:bCs/>
                <w:color w:val="00B050"/>
                <w:sz w:val="22"/>
              </w:rPr>
              <w:t>Instructional Strategies</w:t>
            </w:r>
          </w:p>
        </w:tc>
        <w:tc>
          <w:tcPr>
            <w:tcW w:w="3119" w:type="dxa"/>
            <w:tcBorders>
              <w:top w:val="nil"/>
              <w:left w:val="nil"/>
              <w:bottom w:val="nil"/>
              <w:right w:val="nil"/>
            </w:tcBorders>
            <w:shd w:val="clear" w:color="auto" w:fill="auto"/>
            <w:noWrap/>
            <w:vAlign w:val="center"/>
            <w:hideMark/>
          </w:tcPr>
          <w:p w14:paraId="405CA316" w14:textId="77777777" w:rsidR="00E3778E" w:rsidRPr="00E3778E" w:rsidRDefault="00E3778E" w:rsidP="00E3778E">
            <w:pPr>
              <w:spacing w:before="0" w:after="0" w:line="240" w:lineRule="auto"/>
              <w:rPr>
                <w:rFonts w:eastAsia="Times New Roman"/>
                <w:b/>
                <w:bCs/>
                <w:color w:val="00B050"/>
                <w:sz w:val="22"/>
              </w:rPr>
            </w:pPr>
            <w:r w:rsidRPr="00E3778E">
              <w:rPr>
                <w:rFonts w:eastAsia="Times New Roman"/>
                <w:b/>
                <w:bCs/>
                <w:color w:val="00B050"/>
                <w:sz w:val="22"/>
              </w:rPr>
              <w:t>Instructional Practice</w:t>
            </w:r>
          </w:p>
        </w:tc>
      </w:tr>
      <w:tr w:rsidR="00E3778E" w:rsidRPr="00E3778E" w14:paraId="67724709" w14:textId="77777777" w:rsidTr="00E3778E">
        <w:trPr>
          <w:trHeight w:val="300"/>
        </w:trPr>
        <w:tc>
          <w:tcPr>
            <w:tcW w:w="1174" w:type="dxa"/>
            <w:tcBorders>
              <w:top w:val="nil"/>
              <w:left w:val="nil"/>
              <w:bottom w:val="nil"/>
              <w:right w:val="nil"/>
            </w:tcBorders>
            <w:shd w:val="clear" w:color="auto" w:fill="auto"/>
            <w:noWrap/>
            <w:vAlign w:val="bottom"/>
            <w:hideMark/>
          </w:tcPr>
          <w:p w14:paraId="5D95C054" w14:textId="77777777" w:rsidR="00E3778E" w:rsidRPr="00E3778E" w:rsidRDefault="00E3778E" w:rsidP="00E3778E">
            <w:pPr>
              <w:spacing w:before="0" w:after="0" w:line="240" w:lineRule="auto"/>
              <w:jc w:val="center"/>
              <w:rPr>
                <w:rFonts w:eastAsia="Times New Roman"/>
                <w:color w:val="000000"/>
                <w:sz w:val="22"/>
              </w:rPr>
            </w:pPr>
            <w:r w:rsidRPr="00E3778E">
              <w:rPr>
                <w:rFonts w:eastAsia="Times New Roman"/>
                <w:color w:val="000000"/>
                <w:sz w:val="22"/>
              </w:rPr>
              <w:t>6.0</w:t>
            </w:r>
          </w:p>
        </w:tc>
        <w:tc>
          <w:tcPr>
            <w:tcW w:w="1336" w:type="dxa"/>
            <w:tcBorders>
              <w:top w:val="nil"/>
              <w:left w:val="nil"/>
              <w:bottom w:val="nil"/>
              <w:right w:val="nil"/>
            </w:tcBorders>
            <w:shd w:val="clear" w:color="auto" w:fill="auto"/>
            <w:noWrap/>
            <w:vAlign w:val="bottom"/>
            <w:hideMark/>
          </w:tcPr>
          <w:p w14:paraId="55003CCB" w14:textId="77777777" w:rsidR="00E3778E" w:rsidRPr="00E3778E" w:rsidRDefault="00E3778E" w:rsidP="00E3778E">
            <w:pPr>
              <w:spacing w:before="0" w:after="0" w:line="240" w:lineRule="auto"/>
              <w:rPr>
                <w:rFonts w:eastAsia="Times New Roman"/>
                <w:b/>
                <w:bCs/>
                <w:color w:val="000000"/>
                <w:sz w:val="22"/>
              </w:rPr>
            </w:pPr>
            <w:r w:rsidRPr="00E3778E">
              <w:rPr>
                <w:rFonts w:eastAsia="Times New Roman"/>
                <w:b/>
                <w:bCs/>
                <w:color w:val="000000"/>
                <w:sz w:val="22"/>
              </w:rPr>
              <w:t>InTASC 9</w:t>
            </w:r>
          </w:p>
        </w:tc>
        <w:tc>
          <w:tcPr>
            <w:tcW w:w="3832" w:type="dxa"/>
            <w:tcBorders>
              <w:top w:val="nil"/>
              <w:left w:val="nil"/>
              <w:bottom w:val="nil"/>
              <w:right w:val="nil"/>
            </w:tcBorders>
            <w:shd w:val="clear" w:color="auto" w:fill="auto"/>
            <w:noWrap/>
            <w:vAlign w:val="bottom"/>
            <w:hideMark/>
          </w:tcPr>
          <w:p w14:paraId="05290F44" w14:textId="77777777" w:rsidR="00E3778E" w:rsidRPr="00E3778E" w:rsidRDefault="00E3778E" w:rsidP="00E3778E">
            <w:pPr>
              <w:spacing w:before="0" w:after="0" w:line="240" w:lineRule="auto"/>
              <w:rPr>
                <w:rFonts w:eastAsia="Times New Roman"/>
                <w:b/>
                <w:bCs/>
                <w:color w:val="000000"/>
                <w:sz w:val="22"/>
              </w:rPr>
            </w:pPr>
            <w:r w:rsidRPr="00E3778E">
              <w:rPr>
                <w:rFonts w:eastAsia="Times New Roman"/>
                <w:b/>
                <w:bCs/>
                <w:color w:val="000000"/>
                <w:sz w:val="22"/>
              </w:rPr>
              <w:t>Professional Learning and Ethics</w:t>
            </w:r>
          </w:p>
        </w:tc>
        <w:tc>
          <w:tcPr>
            <w:tcW w:w="3119" w:type="dxa"/>
            <w:tcBorders>
              <w:top w:val="nil"/>
              <w:left w:val="nil"/>
              <w:bottom w:val="nil"/>
              <w:right w:val="nil"/>
            </w:tcBorders>
            <w:shd w:val="clear" w:color="auto" w:fill="auto"/>
            <w:noWrap/>
            <w:vAlign w:val="center"/>
            <w:hideMark/>
          </w:tcPr>
          <w:p w14:paraId="133B5D2D" w14:textId="77777777" w:rsidR="00E3778E" w:rsidRPr="00E3778E" w:rsidRDefault="00E3778E" w:rsidP="00E3778E">
            <w:pPr>
              <w:spacing w:before="0" w:after="0" w:line="240" w:lineRule="auto"/>
              <w:rPr>
                <w:rFonts w:eastAsia="Times New Roman"/>
                <w:b/>
                <w:bCs/>
                <w:color w:val="000000"/>
                <w:sz w:val="22"/>
              </w:rPr>
            </w:pPr>
            <w:r w:rsidRPr="00E3778E">
              <w:rPr>
                <w:rFonts w:eastAsia="Times New Roman"/>
                <w:b/>
                <w:bCs/>
                <w:color w:val="000000"/>
                <w:sz w:val="22"/>
              </w:rPr>
              <w:t>Professional Responsibility</w:t>
            </w:r>
          </w:p>
        </w:tc>
      </w:tr>
      <w:tr w:rsidR="00E3778E" w:rsidRPr="00E3778E" w14:paraId="2CD5F819" w14:textId="77777777" w:rsidTr="00E3778E">
        <w:trPr>
          <w:trHeight w:val="300"/>
        </w:trPr>
        <w:tc>
          <w:tcPr>
            <w:tcW w:w="1174" w:type="dxa"/>
            <w:tcBorders>
              <w:top w:val="nil"/>
              <w:left w:val="nil"/>
              <w:bottom w:val="nil"/>
              <w:right w:val="nil"/>
            </w:tcBorders>
            <w:shd w:val="clear" w:color="auto" w:fill="auto"/>
            <w:noWrap/>
            <w:vAlign w:val="bottom"/>
            <w:hideMark/>
          </w:tcPr>
          <w:p w14:paraId="261C0D3F" w14:textId="77777777" w:rsidR="00E3778E" w:rsidRPr="00E3778E" w:rsidRDefault="00E3778E" w:rsidP="00E3778E">
            <w:pPr>
              <w:spacing w:before="0" w:after="0" w:line="240" w:lineRule="auto"/>
              <w:jc w:val="center"/>
              <w:rPr>
                <w:rFonts w:eastAsia="Times New Roman"/>
                <w:color w:val="000000"/>
                <w:sz w:val="22"/>
              </w:rPr>
            </w:pPr>
            <w:r w:rsidRPr="00E3778E">
              <w:rPr>
                <w:rFonts w:eastAsia="Times New Roman"/>
                <w:color w:val="000000"/>
                <w:sz w:val="22"/>
              </w:rPr>
              <w:t>7.0</w:t>
            </w:r>
          </w:p>
        </w:tc>
        <w:tc>
          <w:tcPr>
            <w:tcW w:w="1336" w:type="dxa"/>
            <w:tcBorders>
              <w:top w:val="nil"/>
              <w:left w:val="nil"/>
              <w:bottom w:val="nil"/>
              <w:right w:val="nil"/>
            </w:tcBorders>
            <w:shd w:val="clear" w:color="auto" w:fill="auto"/>
            <w:noWrap/>
            <w:vAlign w:val="bottom"/>
            <w:hideMark/>
          </w:tcPr>
          <w:p w14:paraId="1D34EFB9" w14:textId="77777777" w:rsidR="00E3778E" w:rsidRPr="00E3778E" w:rsidRDefault="00E3778E" w:rsidP="00E3778E">
            <w:pPr>
              <w:spacing w:before="0" w:after="0" w:line="240" w:lineRule="auto"/>
              <w:rPr>
                <w:rFonts w:eastAsia="Times New Roman"/>
                <w:b/>
                <w:bCs/>
                <w:color w:val="FF0000"/>
                <w:sz w:val="22"/>
              </w:rPr>
            </w:pPr>
            <w:r w:rsidRPr="00E3778E">
              <w:rPr>
                <w:rFonts w:eastAsia="Times New Roman"/>
                <w:b/>
                <w:bCs/>
                <w:color w:val="FF0000"/>
                <w:sz w:val="22"/>
              </w:rPr>
              <w:t>InTASC 3</w:t>
            </w:r>
          </w:p>
        </w:tc>
        <w:tc>
          <w:tcPr>
            <w:tcW w:w="3832" w:type="dxa"/>
            <w:tcBorders>
              <w:top w:val="nil"/>
              <w:left w:val="nil"/>
              <w:bottom w:val="nil"/>
              <w:right w:val="nil"/>
            </w:tcBorders>
            <w:shd w:val="clear" w:color="auto" w:fill="auto"/>
            <w:noWrap/>
            <w:vAlign w:val="bottom"/>
            <w:hideMark/>
          </w:tcPr>
          <w:p w14:paraId="12DD4AC6" w14:textId="77777777" w:rsidR="00E3778E" w:rsidRPr="00E3778E" w:rsidRDefault="00E3778E" w:rsidP="00E3778E">
            <w:pPr>
              <w:spacing w:before="0" w:after="0" w:line="240" w:lineRule="auto"/>
              <w:rPr>
                <w:rFonts w:eastAsia="Times New Roman"/>
                <w:b/>
                <w:bCs/>
                <w:color w:val="FF0000"/>
                <w:sz w:val="22"/>
              </w:rPr>
            </w:pPr>
            <w:r w:rsidRPr="00E3778E">
              <w:rPr>
                <w:rFonts w:eastAsia="Times New Roman"/>
                <w:b/>
                <w:bCs/>
                <w:color w:val="FF0000"/>
                <w:sz w:val="22"/>
              </w:rPr>
              <w:t>Learning Environment</w:t>
            </w:r>
          </w:p>
        </w:tc>
        <w:tc>
          <w:tcPr>
            <w:tcW w:w="3119" w:type="dxa"/>
            <w:tcBorders>
              <w:top w:val="nil"/>
              <w:left w:val="nil"/>
              <w:bottom w:val="nil"/>
              <w:right w:val="nil"/>
            </w:tcBorders>
            <w:shd w:val="clear" w:color="auto" w:fill="auto"/>
            <w:noWrap/>
            <w:vAlign w:val="center"/>
            <w:hideMark/>
          </w:tcPr>
          <w:p w14:paraId="4E8A5B1B" w14:textId="77777777" w:rsidR="00E3778E" w:rsidRPr="00E3778E" w:rsidRDefault="00E3778E" w:rsidP="00E3778E">
            <w:pPr>
              <w:spacing w:before="0" w:after="0" w:line="240" w:lineRule="auto"/>
              <w:rPr>
                <w:rFonts w:eastAsia="Times New Roman"/>
                <w:b/>
                <w:bCs/>
                <w:color w:val="FF0000"/>
                <w:sz w:val="22"/>
              </w:rPr>
            </w:pPr>
            <w:r w:rsidRPr="00E3778E">
              <w:rPr>
                <w:rFonts w:eastAsia="Times New Roman"/>
                <w:b/>
                <w:bCs/>
                <w:color w:val="FF0000"/>
                <w:sz w:val="22"/>
              </w:rPr>
              <w:t>The Learner and Learning</w:t>
            </w:r>
          </w:p>
        </w:tc>
      </w:tr>
      <w:tr w:rsidR="00E3778E" w:rsidRPr="00E3778E" w14:paraId="704D6061" w14:textId="77777777" w:rsidTr="00E3778E">
        <w:trPr>
          <w:trHeight w:val="315"/>
        </w:trPr>
        <w:tc>
          <w:tcPr>
            <w:tcW w:w="1174" w:type="dxa"/>
            <w:tcBorders>
              <w:top w:val="nil"/>
              <w:left w:val="nil"/>
              <w:bottom w:val="single" w:sz="4" w:space="0" w:color="auto"/>
              <w:right w:val="nil"/>
            </w:tcBorders>
            <w:shd w:val="clear" w:color="auto" w:fill="auto"/>
            <w:noWrap/>
            <w:vAlign w:val="bottom"/>
            <w:hideMark/>
          </w:tcPr>
          <w:p w14:paraId="279B9008" w14:textId="77777777" w:rsidR="00E3778E" w:rsidRPr="00E3778E" w:rsidRDefault="00E3778E" w:rsidP="00E3778E">
            <w:pPr>
              <w:spacing w:before="0" w:after="0" w:line="240" w:lineRule="auto"/>
              <w:jc w:val="center"/>
              <w:rPr>
                <w:rFonts w:eastAsia="Times New Roman"/>
                <w:color w:val="000000"/>
                <w:sz w:val="22"/>
              </w:rPr>
            </w:pPr>
            <w:r w:rsidRPr="00E3778E">
              <w:rPr>
                <w:rFonts w:eastAsia="Times New Roman"/>
                <w:color w:val="000000"/>
                <w:sz w:val="22"/>
              </w:rPr>
              <w:t>8.0</w:t>
            </w:r>
          </w:p>
        </w:tc>
        <w:tc>
          <w:tcPr>
            <w:tcW w:w="1336" w:type="dxa"/>
            <w:tcBorders>
              <w:top w:val="nil"/>
              <w:left w:val="nil"/>
              <w:bottom w:val="single" w:sz="4" w:space="0" w:color="auto"/>
              <w:right w:val="nil"/>
            </w:tcBorders>
            <w:shd w:val="clear" w:color="auto" w:fill="auto"/>
            <w:noWrap/>
            <w:vAlign w:val="bottom"/>
            <w:hideMark/>
          </w:tcPr>
          <w:p w14:paraId="15F1382F" w14:textId="77777777" w:rsidR="00E3778E" w:rsidRPr="00E3778E" w:rsidRDefault="00E3778E" w:rsidP="00E3778E">
            <w:pPr>
              <w:spacing w:before="0" w:after="0" w:line="240" w:lineRule="auto"/>
              <w:rPr>
                <w:rFonts w:eastAsia="Times New Roman"/>
                <w:b/>
                <w:bCs/>
                <w:color w:val="000000"/>
                <w:sz w:val="22"/>
              </w:rPr>
            </w:pPr>
            <w:r w:rsidRPr="00E3778E">
              <w:rPr>
                <w:rFonts w:eastAsia="Times New Roman"/>
                <w:b/>
                <w:bCs/>
                <w:color w:val="000000"/>
                <w:sz w:val="22"/>
              </w:rPr>
              <w:t>InTASC 10</w:t>
            </w:r>
          </w:p>
        </w:tc>
        <w:tc>
          <w:tcPr>
            <w:tcW w:w="3832" w:type="dxa"/>
            <w:tcBorders>
              <w:top w:val="nil"/>
              <w:left w:val="nil"/>
              <w:bottom w:val="single" w:sz="4" w:space="0" w:color="auto"/>
              <w:right w:val="nil"/>
            </w:tcBorders>
            <w:shd w:val="clear" w:color="auto" w:fill="auto"/>
            <w:noWrap/>
            <w:vAlign w:val="bottom"/>
            <w:hideMark/>
          </w:tcPr>
          <w:p w14:paraId="62051C2B" w14:textId="77777777" w:rsidR="00E3778E" w:rsidRPr="00E3778E" w:rsidRDefault="00E3778E" w:rsidP="00E3778E">
            <w:pPr>
              <w:spacing w:before="0" w:after="0" w:line="240" w:lineRule="auto"/>
              <w:rPr>
                <w:rFonts w:eastAsia="Times New Roman"/>
                <w:b/>
                <w:bCs/>
                <w:color w:val="000000"/>
                <w:sz w:val="22"/>
              </w:rPr>
            </w:pPr>
            <w:r w:rsidRPr="00E3778E">
              <w:rPr>
                <w:rFonts w:eastAsia="Times New Roman"/>
                <w:b/>
                <w:bCs/>
                <w:color w:val="000000"/>
                <w:sz w:val="22"/>
              </w:rPr>
              <w:t>Leadership and Collaboration</w:t>
            </w:r>
          </w:p>
        </w:tc>
        <w:tc>
          <w:tcPr>
            <w:tcW w:w="3119" w:type="dxa"/>
            <w:tcBorders>
              <w:top w:val="nil"/>
              <w:left w:val="nil"/>
              <w:bottom w:val="single" w:sz="8" w:space="0" w:color="auto"/>
              <w:right w:val="nil"/>
            </w:tcBorders>
            <w:shd w:val="clear" w:color="auto" w:fill="auto"/>
            <w:noWrap/>
            <w:vAlign w:val="center"/>
            <w:hideMark/>
          </w:tcPr>
          <w:p w14:paraId="79168731" w14:textId="77777777" w:rsidR="00E3778E" w:rsidRPr="00E3778E" w:rsidRDefault="00E3778E" w:rsidP="00E3778E">
            <w:pPr>
              <w:spacing w:before="0" w:after="0" w:line="240" w:lineRule="auto"/>
              <w:rPr>
                <w:rFonts w:eastAsia="Times New Roman"/>
                <w:b/>
                <w:bCs/>
                <w:color w:val="000000"/>
                <w:sz w:val="22"/>
              </w:rPr>
            </w:pPr>
            <w:r w:rsidRPr="00E3778E">
              <w:rPr>
                <w:rFonts w:eastAsia="Times New Roman"/>
                <w:b/>
                <w:bCs/>
                <w:color w:val="000000"/>
                <w:sz w:val="22"/>
              </w:rPr>
              <w:t>Professional Responsibility</w:t>
            </w:r>
          </w:p>
        </w:tc>
      </w:tr>
    </w:tbl>
    <w:p w14:paraId="6377538F" w14:textId="77777777" w:rsidR="00E3778E" w:rsidRDefault="00E3778E">
      <w:r>
        <w:t xml:space="preserve"> </w:t>
      </w:r>
      <w:r w:rsidR="007E6500">
        <w:t>This Table provides for an analysis that is not often conducted.  The developers of the InTASC Standards saw fit to</w:t>
      </w:r>
      <w:r w:rsidR="00ED0BD6">
        <w:t xml:space="preserve"> </w:t>
      </w:r>
      <w:r w:rsidR="007F0163">
        <w:t>generate</w:t>
      </w:r>
      <w:r w:rsidR="00ED0BD6">
        <w:t xml:space="preserve"> the construct validity of the InTASC Standards by</w:t>
      </w:r>
      <w:r w:rsidR="007E6500">
        <w:t xml:space="preserve"> reduc</w:t>
      </w:r>
      <w:r w:rsidR="00ED0BD6">
        <w:t>ing</w:t>
      </w:r>
      <w:r w:rsidR="007E6500">
        <w:t xml:space="preserve"> the 10 Standards to four conceptual factors as they are sometimes referred </w:t>
      </w:r>
      <w:r w:rsidR="007F0163">
        <w:t xml:space="preserve">when </w:t>
      </w:r>
      <w:r w:rsidR="007E6500">
        <w:t xml:space="preserve">in this format.  That is, InTASC Standards 1, 2, and 3 are held by the developers to form a conceptual whole </w:t>
      </w:r>
      <w:r w:rsidR="00BF7C62">
        <w:t xml:space="preserve">signified by </w:t>
      </w:r>
      <w:r w:rsidR="00945266">
        <w:t>t</w:t>
      </w:r>
      <w:r w:rsidR="00BF7C62">
        <w:t>he</w:t>
      </w:r>
      <w:r w:rsidR="00945266">
        <w:t xml:space="preserve"> terms</w:t>
      </w:r>
      <w:r w:rsidR="00BF7C62">
        <w:t xml:space="preserve"> </w:t>
      </w:r>
      <w:r w:rsidR="00BF7C62" w:rsidRPr="00945266">
        <w:rPr>
          <w:b/>
          <w:color w:val="FF0000"/>
        </w:rPr>
        <w:t>Learner and Learning</w:t>
      </w:r>
      <w:r w:rsidR="00BF7C62">
        <w:t xml:space="preserve">.  As such, </w:t>
      </w:r>
      <w:r w:rsidR="00945266">
        <w:t xml:space="preserve">it is cognitively desirable to have </w:t>
      </w:r>
      <w:r w:rsidR="00BF7C62">
        <w:t xml:space="preserve">the scores from the three </w:t>
      </w:r>
      <w:r w:rsidR="00945266">
        <w:t>s</w:t>
      </w:r>
      <w:r w:rsidR="00BF7C62">
        <w:t xml:space="preserve">tandards </w:t>
      </w:r>
      <w:r w:rsidR="00945266">
        <w:t xml:space="preserve">at </w:t>
      </w:r>
      <w:r w:rsidR="00BF7C62">
        <w:t>approximately the same</w:t>
      </w:r>
      <w:r w:rsidR="00945266">
        <w:t xml:space="preserve"> level</w:t>
      </w:r>
      <w:r w:rsidR="00BF7C62">
        <w:t xml:space="preserve">.  These </w:t>
      </w:r>
      <w:r w:rsidR="00CB03A3">
        <w:t>s</w:t>
      </w:r>
      <w:r w:rsidR="00BF7C62">
        <w:t xml:space="preserve">tandards are denoted in </w:t>
      </w:r>
      <w:r w:rsidR="00BF7C62" w:rsidRPr="00945266">
        <w:rPr>
          <w:b/>
          <w:color w:val="FF0000"/>
        </w:rPr>
        <w:t>red</w:t>
      </w:r>
      <w:r w:rsidR="00BF7C62">
        <w:t xml:space="preserve"> above to make it more convenient to see how well they do or do not correlate.  In this case, the three </w:t>
      </w:r>
      <w:r w:rsidR="00945266">
        <w:t>s</w:t>
      </w:r>
      <w:r w:rsidR="00B054C6">
        <w:t xml:space="preserve">tandards or </w:t>
      </w:r>
      <w:r w:rsidR="00BF7C62">
        <w:t xml:space="preserve">elements of </w:t>
      </w:r>
      <w:r w:rsidR="00BF7C62" w:rsidRPr="00945266">
        <w:rPr>
          <w:color w:val="FF0000"/>
        </w:rPr>
        <w:t xml:space="preserve">Learner and Learning </w:t>
      </w:r>
      <w:r w:rsidR="00BF7C62">
        <w:t xml:space="preserve">are quite disjoint, ranging in </w:t>
      </w:r>
      <w:r w:rsidR="00290AD3">
        <w:t xml:space="preserve">average </w:t>
      </w:r>
      <w:r w:rsidR="00BF7C62">
        <w:t xml:space="preserve">rank from 2.7 to 7.0!  On the other hand, the best case scenario is the lowest ranking elements of the </w:t>
      </w:r>
      <w:r w:rsidR="00BF7C62" w:rsidRPr="00945266">
        <w:rPr>
          <w:b/>
        </w:rPr>
        <w:t>Professional Responsibility</w:t>
      </w:r>
      <w:r w:rsidR="00BF7C62">
        <w:t xml:space="preserve"> factor where both </w:t>
      </w:r>
      <w:r w:rsidR="00B054C6">
        <w:t>Standards</w:t>
      </w:r>
      <w:r w:rsidR="003B6433">
        <w:t xml:space="preserve"> </w:t>
      </w:r>
      <w:r w:rsidR="00B054C6">
        <w:t>9 and 10</w:t>
      </w:r>
      <w:r w:rsidR="00BF7C62">
        <w:t xml:space="preserve"> are separated by </w:t>
      </w:r>
      <w:r w:rsidR="00B054C6">
        <w:t>just</w:t>
      </w:r>
      <w:r w:rsidR="003B6433">
        <w:t xml:space="preserve"> a</w:t>
      </w:r>
      <w:r w:rsidR="00B054C6">
        <w:t xml:space="preserve"> </w:t>
      </w:r>
      <w:r w:rsidR="00BF7C62">
        <w:t xml:space="preserve">single </w:t>
      </w:r>
      <w:r>
        <w:t>s</w:t>
      </w:r>
      <w:r w:rsidR="00BF7C62">
        <w:t xml:space="preserve">tandard.  </w:t>
      </w:r>
      <w:r w:rsidR="00B054C6">
        <w:t xml:space="preserve">The </w:t>
      </w:r>
      <w:r w:rsidR="00945266" w:rsidRPr="00945266">
        <w:rPr>
          <w:b/>
          <w:color w:val="00B050"/>
        </w:rPr>
        <w:t>Instructional Practice</w:t>
      </w:r>
      <w:r w:rsidR="00B054C6" w:rsidRPr="00945266">
        <w:rPr>
          <w:color w:val="00B050"/>
        </w:rPr>
        <w:t xml:space="preserve"> </w:t>
      </w:r>
      <w:r w:rsidR="00B054C6">
        <w:t xml:space="preserve">factor has two elements together and if the third, Assessment, would have ranked next to </w:t>
      </w:r>
      <w:r w:rsidR="00B72AAC">
        <w:t xml:space="preserve">or with them, then the </w:t>
      </w:r>
      <w:r w:rsidR="00B72AAC" w:rsidRPr="00E3778E">
        <w:rPr>
          <w:b/>
          <w:color w:val="00B050"/>
        </w:rPr>
        <w:t>Instructional Practice</w:t>
      </w:r>
      <w:r w:rsidR="00B72AAC" w:rsidRPr="00E3778E">
        <w:rPr>
          <w:color w:val="00B050"/>
        </w:rPr>
        <w:t xml:space="preserve"> </w:t>
      </w:r>
      <w:r w:rsidR="00B72AAC">
        <w:t>factor would have an added and beneficial quality it otherwise does not have.</w:t>
      </w:r>
      <w:r>
        <w:t xml:space="preserve">  </w:t>
      </w:r>
      <w:r w:rsidRPr="00A41540">
        <w:rPr>
          <w:b/>
          <w:color w:val="00B0F0"/>
        </w:rPr>
        <w:t>Content Knowledge</w:t>
      </w:r>
      <w:r>
        <w:t xml:space="preserve"> has two nice rankings bur also lacks somewhat the correlative relationship that is most desirable.</w:t>
      </w:r>
    </w:p>
    <w:p w14:paraId="73CD8B8F" w14:textId="77777777" w:rsidR="004E0914" w:rsidRDefault="002142B6" w:rsidP="005A50DE">
      <w:r>
        <w:lastRenderedPageBreak/>
        <w:t>T</w:t>
      </w:r>
      <w:r w:rsidR="00BF7C62">
        <w:t xml:space="preserve">he practical application of this type of analysis is often the focus is on each individual standard as if </w:t>
      </w:r>
      <w:r w:rsidR="00B054C6">
        <w:t>any given standard</w:t>
      </w:r>
      <w:r w:rsidR="00BF7C62">
        <w:t xml:space="preserve"> had no particular relationship to the others.  </w:t>
      </w:r>
      <w:r w:rsidR="00B72AAC">
        <w:t xml:space="preserve">However, </w:t>
      </w:r>
      <w:r w:rsidR="00BF7C62">
        <w:t xml:space="preserve">the InTASC standards </w:t>
      </w:r>
      <w:r w:rsidR="00B054C6">
        <w:t>are reduced by their developers to four factors, which in turn are reduced to a single factor, that is, a complete educator!</w:t>
      </w:r>
      <w:r w:rsidR="00BF7C62">
        <w:t xml:space="preserve"> </w:t>
      </w:r>
      <w:r w:rsidR="00B054C6">
        <w:t xml:space="preserve"> </w:t>
      </w:r>
      <w:r w:rsidR="00B72AAC">
        <w:t>When all of the elements (standards) of one of the factors are at or near the same assessment level, then the factor is more wholly and completely developed than if the elements are dispersed in assessed levels. So as noted, the “Professional Responsibility” factor is comprised of two elements of similar ranking, which suggests that while ranked lower than the other elements, will be present in the teacher candidates in a way in which each of the two elements complements or supports the other.  This is to say, the teacher will very likely demonstrate professionalism and responsibility at a level higher than the rank score for that factor would suggest.</w:t>
      </w:r>
    </w:p>
    <w:p w14:paraId="2F6FDB65" w14:textId="77777777" w:rsidR="009634EE" w:rsidRDefault="00AE6F00" w:rsidP="005A50DE">
      <w:r>
        <w:t>On the other hand, the “Learner and Learning” factor is strongly supported by Learning Differences, well supported by Learner Development, and not as well supported by Learning Environment.  Consequently, the obvious take from this is</w:t>
      </w:r>
      <w:r w:rsidR="007B7AAA">
        <w:t xml:space="preserve"> to</w:t>
      </w:r>
      <w:r>
        <w:t xml:space="preserve"> address the issue that a great development in Learning Differences</w:t>
      </w:r>
      <w:r w:rsidR="007B7AAA">
        <w:t xml:space="preserve"> can be impeded by a lessor level of understanding Learning Environment. That is, just as the factor “Professionalism and Responsibility” can assume a capacity </w:t>
      </w:r>
      <w:r w:rsidR="007B7AAA" w:rsidRPr="009634EE">
        <w:rPr>
          <w:i/>
        </w:rPr>
        <w:t>greater than the sum of its</w:t>
      </w:r>
      <w:r w:rsidR="009634EE" w:rsidRPr="009634EE">
        <w:rPr>
          <w:i/>
        </w:rPr>
        <w:t xml:space="preserve"> parts</w:t>
      </w:r>
      <w:r w:rsidR="009634EE">
        <w:t xml:space="preserve">, that is, </w:t>
      </w:r>
      <w:r w:rsidR="007B7AAA">
        <w:t>two lower but nearly equally ranked Standards, a factor such as “Learner and Learning” can</w:t>
      </w:r>
      <w:r w:rsidR="009634EE">
        <w:t xml:space="preserve"> end up with a capacity </w:t>
      </w:r>
      <w:r w:rsidR="009634EE" w:rsidRPr="00316A1F">
        <w:rPr>
          <w:i/>
        </w:rPr>
        <w:t>less than the sum of its parts</w:t>
      </w:r>
      <w:r w:rsidR="009634EE">
        <w:t xml:space="preserve"> as a result of diverse levels of attainment.  </w:t>
      </w:r>
      <w:r w:rsidR="00316A1F">
        <w:t>A car motor having 60 pounds of compression in each cylinder runs much better than a car having compression of 95 pounds in all cylinders except one having 40 pounds of compression.</w:t>
      </w:r>
    </w:p>
    <w:p w14:paraId="714081A3" w14:textId="77777777" w:rsidR="00AE6F00" w:rsidRDefault="009634EE" w:rsidP="005A50DE">
      <w:r>
        <w:t xml:space="preserve"> </w:t>
      </w:r>
      <w:r w:rsidR="007B7AAA">
        <w:t xml:space="preserve">A </w:t>
      </w:r>
      <w:r w:rsidR="003A284F">
        <w:t>Teacher Education</w:t>
      </w:r>
      <w:r w:rsidR="007B7AAA">
        <w:t xml:space="preserve"> </w:t>
      </w:r>
      <w:r w:rsidR="002025E6">
        <w:t>Preparation Program</w:t>
      </w:r>
      <w:r w:rsidR="007B7AAA">
        <w:t xml:space="preserve"> as exemplary and proficient as SKC’s Division of Education would benefit from tracking the InTASC Stan</w:t>
      </w:r>
      <w:r w:rsidR="009207EA">
        <w:t xml:space="preserve">dards holistically, that is, to give attention to the consistency of the scores that form each of the four InTASC factors in order to have a more complete understanding of the candidates’ </w:t>
      </w:r>
      <w:r w:rsidR="009207EA" w:rsidRPr="00A70E45">
        <w:rPr>
          <w:i/>
        </w:rPr>
        <w:t>preparation</w:t>
      </w:r>
      <w:r w:rsidR="009207EA">
        <w:t>.  Upon having that process in place, then further down the road the next step would be to see if the four InTASC factors are also consistent</w:t>
      </w:r>
      <w:r w:rsidR="00804F30">
        <w:t xml:space="preserve"> among themselves</w:t>
      </w:r>
      <w:r w:rsidR="009207EA">
        <w:t xml:space="preserve"> in order to have a more complete understanding of the candidates’ capacity as </w:t>
      </w:r>
      <w:r w:rsidR="009207EA" w:rsidRPr="00A70E45">
        <w:rPr>
          <w:i/>
        </w:rPr>
        <w:t>teachers.</w:t>
      </w:r>
    </w:p>
    <w:p w14:paraId="52BA4326" w14:textId="77777777" w:rsidR="009207EA" w:rsidRDefault="009207EA" w:rsidP="005A50DE">
      <w:r>
        <w:t xml:space="preserve">There are a couple of caveats important to this aspect of the analysis.  </w:t>
      </w:r>
      <w:r w:rsidR="00A70E45">
        <w:t xml:space="preserve">Ranking </w:t>
      </w:r>
      <w:r w:rsidR="00290AD3">
        <w:t xml:space="preserve">obviously </w:t>
      </w:r>
      <w:r w:rsidR="00A70E45">
        <w:t>produces rank order data, which always results in a first, last, and every</w:t>
      </w:r>
      <w:r w:rsidR="00290AD3">
        <w:t xml:space="preserve"> rank in between</w:t>
      </w:r>
      <w:r w:rsidR="00A70E45">
        <w:t>.  Rank order data does not preserve the magnitude of difference between each of the ranks so there may</w:t>
      </w:r>
      <w:r w:rsidR="00B04FE6">
        <w:t xml:space="preserve"> be more difference between 9</w:t>
      </w:r>
      <w:r w:rsidR="00B04FE6" w:rsidRPr="00B04FE6">
        <w:rPr>
          <w:vertAlign w:val="superscript"/>
        </w:rPr>
        <w:t>th</w:t>
      </w:r>
      <w:r w:rsidR="00B04FE6">
        <w:t xml:space="preserve"> and 10</w:t>
      </w:r>
      <w:r w:rsidR="00B04FE6" w:rsidRPr="00B04FE6">
        <w:rPr>
          <w:vertAlign w:val="superscript"/>
        </w:rPr>
        <w:t>th</w:t>
      </w:r>
      <w:r w:rsidR="00B04FE6">
        <w:t xml:space="preserve"> place than there is </w:t>
      </w:r>
      <w:r w:rsidR="00A70E45">
        <w:t>between 1</w:t>
      </w:r>
      <w:r w:rsidR="00A70E45" w:rsidRPr="00A70E45">
        <w:rPr>
          <w:vertAlign w:val="superscript"/>
        </w:rPr>
        <w:t>st</w:t>
      </w:r>
      <w:r w:rsidR="00A70E45">
        <w:t xml:space="preserve"> and </w:t>
      </w:r>
      <w:r w:rsidR="00B04FE6">
        <w:t>8</w:t>
      </w:r>
      <w:r w:rsidR="00B04FE6" w:rsidRPr="00B04FE6">
        <w:rPr>
          <w:vertAlign w:val="superscript"/>
        </w:rPr>
        <w:t>th</w:t>
      </w:r>
      <w:r w:rsidR="00B04FE6">
        <w:t xml:space="preserve"> </w:t>
      </w:r>
      <w:r w:rsidR="00A70E45">
        <w:t>place</w:t>
      </w:r>
      <w:r w:rsidR="00B04FE6">
        <w:t xml:space="preserve"> such as in Table 3, so interpreting rank order data requires a </w:t>
      </w:r>
      <w:r w:rsidR="003B6433">
        <w:t xml:space="preserve">much </w:t>
      </w:r>
      <w:r w:rsidR="00B04FE6">
        <w:t>broader analysis and is less definitive than ratio level data</w:t>
      </w:r>
      <w:r w:rsidR="003B6433">
        <w:t xml:space="preserve"> would require for analysis</w:t>
      </w:r>
      <w:r w:rsidR="00B04FE6">
        <w:t>.</w:t>
      </w:r>
      <w:r w:rsidR="003B6433">
        <w:t xml:space="preserve">  Closely related to this point is given rank order data will always have a last place, being in last place does not indicate an absolute deficiency but rather in only a potential indicator of what aspects of the program may require additional resources.</w:t>
      </w:r>
    </w:p>
    <w:p w14:paraId="4EAEE93D" w14:textId="77777777" w:rsidR="00A41540" w:rsidRDefault="00A41540" w:rsidP="00E755E4">
      <w:pPr>
        <w:pStyle w:val="Heading3"/>
      </w:pPr>
      <w:r>
        <w:tab/>
      </w:r>
      <w:bookmarkStart w:id="27" w:name="_Toc493221891"/>
      <w:r>
        <w:t>Analysis of reflective</w:t>
      </w:r>
      <w:r w:rsidR="00290AD3">
        <w:t xml:space="preserve"> </w:t>
      </w:r>
      <w:r>
        <w:t xml:space="preserve">written analysis </w:t>
      </w:r>
      <w:r w:rsidR="00743FC2">
        <w:t xml:space="preserve">(RWA) </w:t>
      </w:r>
      <w:r>
        <w:t>scores by InTASC standard.</w:t>
      </w:r>
      <w:bookmarkEnd w:id="27"/>
    </w:p>
    <w:p w14:paraId="27369A3C" w14:textId="77777777" w:rsidR="00440C1A" w:rsidRDefault="003B6433" w:rsidP="005A50DE">
      <w:r>
        <w:t xml:space="preserve">The last </w:t>
      </w:r>
      <w:r w:rsidR="00804F30">
        <w:t xml:space="preserve">perspective of the InTASC Standards is to briefly look </w:t>
      </w:r>
      <w:r w:rsidR="00156101">
        <w:t>an</w:t>
      </w:r>
      <w:r w:rsidR="00804F30">
        <w:t xml:space="preserve"> assessment that spans all three stages of preparation</w:t>
      </w:r>
      <w:r w:rsidR="009C5D71">
        <w:t xml:space="preserve"> and two less comprehensive assessments, </w:t>
      </w:r>
      <w:r w:rsidR="00290AD3">
        <w:t>P</w:t>
      </w:r>
      <w:r w:rsidR="009C5D71">
        <w:t xml:space="preserve">hilosophy and </w:t>
      </w:r>
      <w:r w:rsidR="00A41540">
        <w:t>Integrated Unit Plan</w:t>
      </w:r>
      <w:r w:rsidR="00804F30">
        <w:t xml:space="preserve">.  </w:t>
      </w:r>
      <w:r w:rsidR="00C166EF">
        <w:t>In addition to spanning all three stages of teacher education preparation, t</w:t>
      </w:r>
      <w:r w:rsidR="00804F30">
        <w:t>he</w:t>
      </w:r>
      <w:r w:rsidR="00C166EF">
        <w:t xml:space="preserve"> Reflective Written Analysis (RWA)</w:t>
      </w:r>
      <w:r w:rsidR="00804F30">
        <w:t xml:space="preserve"> assessment </w:t>
      </w:r>
      <w:r w:rsidR="00C166EF">
        <w:t>has</w:t>
      </w:r>
      <w:r w:rsidR="00804F30">
        <w:t xml:space="preserve"> the most frequent administration</w:t>
      </w:r>
      <w:r w:rsidR="00C166EF">
        <w:t>s</w:t>
      </w:r>
      <w:r w:rsidR="00804F30">
        <w:t xml:space="preserve"> as well as spanning all </w:t>
      </w:r>
      <w:r w:rsidR="00440C1A">
        <w:t>10 InTASC Standards</w:t>
      </w:r>
      <w:r w:rsidR="00804F30">
        <w:t>.</w:t>
      </w:r>
    </w:p>
    <w:p w14:paraId="74C7B7CD" w14:textId="77777777" w:rsidR="00440C1A" w:rsidRDefault="00F67133" w:rsidP="00440C1A">
      <w:r>
        <w:lastRenderedPageBreak/>
        <w:t>Stage I</w:t>
      </w:r>
      <w:r w:rsidR="00440C1A">
        <w:t xml:space="preserve"> of the RWA TEP assessments </w:t>
      </w:r>
      <w:r w:rsidR="009C5D71">
        <w:t>covers</w:t>
      </w:r>
      <w:r w:rsidR="00440C1A">
        <w:t xml:space="preserve"> </w:t>
      </w:r>
      <w:r w:rsidR="00EE2521">
        <w:t>five</w:t>
      </w:r>
      <w:r w:rsidR="00440C1A">
        <w:t xml:space="preserve"> InTASC </w:t>
      </w:r>
      <w:r w:rsidR="009C5D71">
        <w:t>Standard</w:t>
      </w:r>
      <w:r w:rsidR="00440C1A">
        <w:t xml:space="preserve">s, namely, InTASC </w:t>
      </w:r>
      <w:r w:rsidR="009C5D71">
        <w:t xml:space="preserve">Standard 1, </w:t>
      </w:r>
      <w:r w:rsidR="00440C1A">
        <w:t xml:space="preserve">Learner Development; InTASC </w:t>
      </w:r>
      <w:r w:rsidR="009C5D71">
        <w:t>Standard</w:t>
      </w:r>
      <w:r w:rsidR="00440C1A">
        <w:t xml:space="preserve"> 2</w:t>
      </w:r>
      <w:r w:rsidR="009C5D71">
        <w:t xml:space="preserve">, </w:t>
      </w:r>
      <w:r w:rsidR="00440C1A">
        <w:t xml:space="preserve">Learner Differences; InTASC </w:t>
      </w:r>
      <w:r w:rsidR="009C5D71">
        <w:t>Standard</w:t>
      </w:r>
      <w:r w:rsidR="00440C1A">
        <w:t xml:space="preserve"> 4</w:t>
      </w:r>
      <w:r w:rsidR="009C5D71">
        <w:t>,</w:t>
      </w:r>
      <w:r w:rsidR="00440C1A">
        <w:t xml:space="preserve"> Content </w:t>
      </w:r>
      <w:r w:rsidR="00A41540">
        <w:t xml:space="preserve">Knowledge; InTASC Standard 9, Professional Learning and Ethical Practice; and InTASC Standard 10, </w:t>
      </w:r>
      <w:r w:rsidR="00440C1A">
        <w:t>Leadership and Collaboration. The 45 students having scores on the TEP</w:t>
      </w:r>
      <w:r w:rsidR="00A41540">
        <w:t xml:space="preserve"> </w:t>
      </w:r>
      <w:r w:rsidR="00440C1A">
        <w:t xml:space="preserve">1 RWAs covering InTASC </w:t>
      </w:r>
      <w:r w:rsidR="009C5D71">
        <w:t>Standard</w:t>
      </w:r>
      <w:r w:rsidR="00440C1A">
        <w:t xml:space="preserve">s 1, 2, 4, 9, and 10 </w:t>
      </w:r>
      <w:r w:rsidR="00C166EF">
        <w:t>produced 2</w:t>
      </w:r>
      <w:r w:rsidR="009C5D71">
        <w:t>19</w:t>
      </w:r>
      <w:r w:rsidR="00C166EF">
        <w:t xml:space="preserve"> data points, 7% of which were Proficient or </w:t>
      </w:r>
      <w:r w:rsidR="00BC706A">
        <w:t>Exemplary</w:t>
      </w:r>
      <w:r w:rsidR="00C166EF">
        <w:t xml:space="preserve">.  </w:t>
      </w:r>
      <w:r w:rsidR="00B413FA">
        <w:t xml:space="preserve">Interestingly, </w:t>
      </w:r>
      <w:r w:rsidR="00440C1A">
        <w:t xml:space="preserve">the Learner Development Standard (InTASC 1) was the only one of the </w:t>
      </w:r>
      <w:r w:rsidR="00B413FA">
        <w:t xml:space="preserve">assessed standards </w:t>
      </w:r>
      <w:r w:rsidR="009C5D71">
        <w:t xml:space="preserve">in TEP 1 </w:t>
      </w:r>
      <w:r w:rsidR="00440C1A">
        <w:t xml:space="preserve">that did not have a student with an </w:t>
      </w:r>
      <w:r w:rsidR="00BC706A">
        <w:t>E</w:t>
      </w:r>
      <w:r w:rsidR="00440C1A">
        <w:t xml:space="preserve">xemplary score.   </w:t>
      </w:r>
    </w:p>
    <w:p w14:paraId="2CE322AB" w14:textId="77777777" w:rsidR="003772FB" w:rsidRDefault="00F67133" w:rsidP="00440C1A">
      <w:r>
        <w:t>Stage II</w:t>
      </w:r>
      <w:r w:rsidR="00B413FA">
        <w:t xml:space="preserve"> and </w:t>
      </w:r>
      <w:r>
        <w:t>Stage III</w:t>
      </w:r>
      <w:r w:rsidR="00B413FA">
        <w:t xml:space="preserve"> RWA assessments were given</w:t>
      </w:r>
      <w:r w:rsidR="003D4836">
        <w:t xml:space="preserve"> to an average of 23 students/candidates</w:t>
      </w:r>
      <w:r w:rsidR="00B413FA">
        <w:t xml:space="preserve"> in a manner that </w:t>
      </w:r>
      <w:r w:rsidR="003D4836">
        <w:t xml:space="preserve">the </w:t>
      </w:r>
      <w:r w:rsidR="00B413FA">
        <w:t xml:space="preserve">assessed the learners’ development on each of the 10 InTASC standards.  A total of </w:t>
      </w:r>
      <w:r w:rsidR="009C5D71">
        <w:t xml:space="preserve">481 and 430 data points were generated by </w:t>
      </w:r>
      <w:r>
        <w:t>Stage II</w:t>
      </w:r>
      <w:r w:rsidR="009C5D71">
        <w:t xml:space="preserve"> and </w:t>
      </w:r>
      <w:r>
        <w:t>Stage III</w:t>
      </w:r>
      <w:r w:rsidR="003D4836">
        <w:t xml:space="preserve"> RWA assessments respectively.</w:t>
      </w:r>
      <w:r w:rsidR="009C5D71">
        <w:t xml:space="preserve"> </w:t>
      </w:r>
      <w:r w:rsidR="003772FB">
        <w:t>The outcomes of these 1130 assessment data points on the RWAs across all three TEP Stages and all 10 InTASC Standard</w:t>
      </w:r>
      <w:r w:rsidR="00EE2521">
        <w:t>s</w:t>
      </w:r>
      <w:r w:rsidR="003772FB">
        <w:t xml:space="preserve"> </w:t>
      </w:r>
      <w:r w:rsidR="003D4836">
        <w:t>are</w:t>
      </w:r>
      <w:r w:rsidR="003772FB">
        <w:t xml:space="preserve"> present</w:t>
      </w:r>
      <w:r w:rsidR="003D4836">
        <w:t>ed</w:t>
      </w:r>
      <w:r w:rsidR="003772FB">
        <w:t xml:space="preserve"> in Table 9 below.</w:t>
      </w:r>
    </w:p>
    <w:tbl>
      <w:tblPr>
        <w:tblW w:w="10455" w:type="dxa"/>
        <w:tblInd w:w="93" w:type="dxa"/>
        <w:tblLook w:val="04A0" w:firstRow="1" w:lastRow="0" w:firstColumn="1" w:lastColumn="0" w:noHBand="0" w:noVBand="1"/>
      </w:tblPr>
      <w:tblGrid>
        <w:gridCol w:w="1385"/>
        <w:gridCol w:w="403"/>
        <w:gridCol w:w="663"/>
        <w:gridCol w:w="663"/>
        <w:gridCol w:w="616"/>
        <w:gridCol w:w="1476"/>
        <w:gridCol w:w="822"/>
        <w:gridCol w:w="712"/>
        <w:gridCol w:w="712"/>
        <w:gridCol w:w="3003"/>
      </w:tblGrid>
      <w:tr w:rsidR="003772FB" w:rsidRPr="003772FB" w14:paraId="7801F386" w14:textId="77777777" w:rsidTr="003772FB">
        <w:trPr>
          <w:trHeight w:val="315"/>
        </w:trPr>
        <w:tc>
          <w:tcPr>
            <w:tcW w:w="10455" w:type="dxa"/>
            <w:gridSpan w:val="10"/>
            <w:tcBorders>
              <w:top w:val="single" w:sz="4" w:space="0" w:color="auto"/>
              <w:left w:val="nil"/>
              <w:bottom w:val="single" w:sz="4" w:space="0" w:color="000000"/>
              <w:right w:val="nil"/>
            </w:tcBorders>
            <w:shd w:val="clear" w:color="auto" w:fill="auto"/>
            <w:noWrap/>
            <w:vAlign w:val="center"/>
            <w:hideMark/>
          </w:tcPr>
          <w:p w14:paraId="20B5C2E1" w14:textId="77777777" w:rsidR="003772FB" w:rsidRPr="003772FB" w:rsidRDefault="004F75DB" w:rsidP="003772FB">
            <w:pPr>
              <w:spacing w:after="0" w:line="240" w:lineRule="auto"/>
              <w:jc w:val="center"/>
              <w:rPr>
                <w:rFonts w:eastAsia="Times New Roman"/>
                <w:b/>
                <w:bCs/>
                <w:color w:val="000000"/>
                <w:sz w:val="22"/>
              </w:rPr>
            </w:pPr>
            <w:bookmarkStart w:id="28" w:name="_Toc492828031"/>
            <w:r w:rsidRPr="004F75DB">
              <w:rPr>
                <w:b/>
                <w:color w:val="000000" w:themeColor="text1"/>
                <w:sz w:val="26"/>
                <w:szCs w:val="26"/>
              </w:rPr>
              <w:t xml:space="preserve">Table </w:t>
            </w:r>
            <w:r w:rsidRPr="004F75DB">
              <w:rPr>
                <w:b/>
                <w:color w:val="000000" w:themeColor="text1"/>
                <w:sz w:val="26"/>
                <w:szCs w:val="26"/>
              </w:rPr>
              <w:fldChar w:fldCharType="begin"/>
            </w:r>
            <w:r w:rsidRPr="004F75DB">
              <w:rPr>
                <w:b/>
                <w:color w:val="000000" w:themeColor="text1"/>
                <w:sz w:val="26"/>
                <w:szCs w:val="26"/>
              </w:rPr>
              <w:instrText xml:space="preserve"> SEQ Table \* ARABIC </w:instrText>
            </w:r>
            <w:r w:rsidRPr="004F75DB">
              <w:rPr>
                <w:b/>
                <w:color w:val="000000" w:themeColor="text1"/>
                <w:sz w:val="26"/>
                <w:szCs w:val="26"/>
              </w:rPr>
              <w:fldChar w:fldCharType="separate"/>
            </w:r>
            <w:r w:rsidR="0010294F">
              <w:rPr>
                <w:b/>
                <w:noProof/>
                <w:color w:val="000000" w:themeColor="text1"/>
                <w:sz w:val="26"/>
                <w:szCs w:val="26"/>
              </w:rPr>
              <w:t>9</w:t>
            </w:r>
            <w:r w:rsidRPr="004F75DB">
              <w:rPr>
                <w:b/>
                <w:color w:val="000000" w:themeColor="text1"/>
                <w:sz w:val="26"/>
                <w:szCs w:val="26"/>
              </w:rPr>
              <w:fldChar w:fldCharType="end"/>
            </w:r>
            <w:r w:rsidR="003772FB" w:rsidRPr="004F75DB">
              <w:rPr>
                <w:rFonts w:eastAsia="Times New Roman"/>
                <w:b/>
                <w:bCs/>
                <w:color w:val="000000" w:themeColor="text1"/>
                <w:sz w:val="26"/>
                <w:szCs w:val="26"/>
              </w:rPr>
              <w:t>: Analysis</w:t>
            </w:r>
            <w:r w:rsidR="003772FB" w:rsidRPr="004F75DB">
              <w:rPr>
                <w:rFonts w:eastAsia="Times New Roman"/>
                <w:b/>
                <w:bCs/>
                <w:color w:val="000000" w:themeColor="text1"/>
                <w:sz w:val="22"/>
              </w:rPr>
              <w:t xml:space="preserve"> </w:t>
            </w:r>
            <w:r w:rsidR="003772FB" w:rsidRPr="003772FB">
              <w:rPr>
                <w:rFonts w:eastAsia="Times New Roman"/>
                <w:b/>
                <w:bCs/>
                <w:color w:val="000000"/>
                <w:sz w:val="22"/>
              </w:rPr>
              <w:t>of RWA Assessments by Stage and Qualifier per Individual InTASC Standards</w:t>
            </w:r>
            <w:bookmarkEnd w:id="28"/>
          </w:p>
        </w:tc>
      </w:tr>
      <w:tr w:rsidR="003772FB" w:rsidRPr="003772FB" w14:paraId="531D2140" w14:textId="77777777" w:rsidTr="003772FB">
        <w:trPr>
          <w:trHeight w:val="315"/>
        </w:trPr>
        <w:tc>
          <w:tcPr>
            <w:tcW w:w="10455" w:type="dxa"/>
            <w:gridSpan w:val="10"/>
            <w:tcBorders>
              <w:top w:val="single" w:sz="4" w:space="0" w:color="auto"/>
              <w:left w:val="nil"/>
              <w:bottom w:val="single" w:sz="4" w:space="0" w:color="000000"/>
              <w:right w:val="nil"/>
            </w:tcBorders>
            <w:vAlign w:val="center"/>
            <w:hideMark/>
          </w:tcPr>
          <w:p w14:paraId="7DE847F3" w14:textId="77777777" w:rsidR="003772FB" w:rsidRPr="003772FB" w:rsidRDefault="003772FB" w:rsidP="003772FB">
            <w:pPr>
              <w:spacing w:after="0" w:line="240" w:lineRule="auto"/>
              <w:rPr>
                <w:rFonts w:eastAsia="Times New Roman"/>
                <w:b/>
                <w:bCs/>
                <w:color w:val="000000"/>
                <w:sz w:val="22"/>
              </w:rPr>
            </w:pPr>
          </w:p>
        </w:tc>
      </w:tr>
      <w:tr w:rsidR="003772FB" w:rsidRPr="003772FB" w14:paraId="6FE2E469" w14:textId="77777777" w:rsidTr="003772FB">
        <w:trPr>
          <w:trHeight w:val="315"/>
        </w:trPr>
        <w:tc>
          <w:tcPr>
            <w:tcW w:w="1385" w:type="dxa"/>
            <w:tcBorders>
              <w:top w:val="nil"/>
              <w:left w:val="nil"/>
              <w:bottom w:val="nil"/>
              <w:right w:val="nil"/>
            </w:tcBorders>
            <w:shd w:val="clear" w:color="auto" w:fill="auto"/>
            <w:noWrap/>
            <w:vAlign w:val="bottom"/>
            <w:hideMark/>
          </w:tcPr>
          <w:p w14:paraId="1F91645A" w14:textId="77777777" w:rsidR="003772FB" w:rsidRPr="003772FB" w:rsidRDefault="003772FB" w:rsidP="003772FB">
            <w:pPr>
              <w:spacing w:after="0" w:line="240" w:lineRule="auto"/>
              <w:rPr>
                <w:rFonts w:eastAsia="Times New Roman"/>
                <w:color w:val="000000"/>
                <w:sz w:val="22"/>
              </w:rPr>
            </w:pPr>
          </w:p>
        </w:tc>
        <w:tc>
          <w:tcPr>
            <w:tcW w:w="1729" w:type="dxa"/>
            <w:gridSpan w:val="3"/>
            <w:tcBorders>
              <w:top w:val="nil"/>
              <w:left w:val="nil"/>
              <w:bottom w:val="nil"/>
              <w:right w:val="nil"/>
            </w:tcBorders>
            <w:shd w:val="clear" w:color="auto" w:fill="auto"/>
            <w:noWrap/>
            <w:vAlign w:val="bottom"/>
            <w:hideMark/>
          </w:tcPr>
          <w:p w14:paraId="27C38AD7" w14:textId="77777777" w:rsidR="003772FB" w:rsidRPr="003772FB" w:rsidRDefault="003772FB" w:rsidP="003772FB">
            <w:pPr>
              <w:spacing w:after="0" w:line="240" w:lineRule="auto"/>
              <w:jc w:val="center"/>
              <w:rPr>
                <w:rFonts w:eastAsia="Times New Roman"/>
                <w:b/>
                <w:bCs/>
                <w:color w:val="000000"/>
                <w:sz w:val="22"/>
              </w:rPr>
            </w:pPr>
            <w:r w:rsidRPr="003772FB">
              <w:rPr>
                <w:rFonts w:eastAsia="Times New Roman"/>
                <w:b/>
                <w:bCs/>
                <w:color w:val="000000"/>
                <w:sz w:val="22"/>
              </w:rPr>
              <w:t xml:space="preserve">Number of RWAs </w:t>
            </w:r>
          </w:p>
        </w:tc>
        <w:tc>
          <w:tcPr>
            <w:tcW w:w="616" w:type="dxa"/>
            <w:tcBorders>
              <w:top w:val="nil"/>
              <w:left w:val="nil"/>
              <w:bottom w:val="nil"/>
              <w:right w:val="nil"/>
            </w:tcBorders>
            <w:shd w:val="clear" w:color="auto" w:fill="auto"/>
            <w:noWrap/>
            <w:vAlign w:val="bottom"/>
            <w:hideMark/>
          </w:tcPr>
          <w:p w14:paraId="13B23226" w14:textId="77777777" w:rsidR="003772FB" w:rsidRPr="003772FB" w:rsidRDefault="003772FB" w:rsidP="003772FB">
            <w:pPr>
              <w:spacing w:after="0" w:line="240" w:lineRule="auto"/>
              <w:rPr>
                <w:rFonts w:eastAsia="Times New Roman"/>
                <w:color w:val="000000"/>
                <w:sz w:val="22"/>
              </w:rPr>
            </w:pPr>
          </w:p>
        </w:tc>
        <w:tc>
          <w:tcPr>
            <w:tcW w:w="1476" w:type="dxa"/>
            <w:tcBorders>
              <w:top w:val="nil"/>
              <w:left w:val="nil"/>
              <w:bottom w:val="nil"/>
              <w:right w:val="nil"/>
            </w:tcBorders>
            <w:shd w:val="clear" w:color="auto" w:fill="auto"/>
            <w:noWrap/>
            <w:vAlign w:val="bottom"/>
            <w:hideMark/>
          </w:tcPr>
          <w:p w14:paraId="363A9FB1" w14:textId="77777777" w:rsidR="003772FB" w:rsidRPr="003772FB" w:rsidRDefault="003772FB" w:rsidP="003772FB">
            <w:pPr>
              <w:spacing w:after="0" w:line="240" w:lineRule="auto"/>
              <w:jc w:val="center"/>
              <w:rPr>
                <w:rFonts w:eastAsia="Times New Roman"/>
                <w:b/>
                <w:bCs/>
                <w:color w:val="000000"/>
                <w:sz w:val="22"/>
              </w:rPr>
            </w:pPr>
            <w:r w:rsidRPr="003772FB">
              <w:rPr>
                <w:rFonts w:eastAsia="Times New Roman"/>
                <w:b/>
                <w:bCs/>
                <w:color w:val="000000"/>
                <w:sz w:val="22"/>
              </w:rPr>
              <w:t>Exemplary</w:t>
            </w:r>
          </w:p>
        </w:tc>
        <w:tc>
          <w:tcPr>
            <w:tcW w:w="2246" w:type="dxa"/>
            <w:gridSpan w:val="3"/>
            <w:tcBorders>
              <w:top w:val="nil"/>
              <w:left w:val="nil"/>
              <w:bottom w:val="nil"/>
              <w:right w:val="nil"/>
            </w:tcBorders>
            <w:shd w:val="clear" w:color="auto" w:fill="auto"/>
            <w:noWrap/>
            <w:vAlign w:val="bottom"/>
            <w:hideMark/>
          </w:tcPr>
          <w:p w14:paraId="020D1283" w14:textId="77777777" w:rsidR="003772FB" w:rsidRPr="003772FB" w:rsidRDefault="00705AD1" w:rsidP="00CD62B1">
            <w:pPr>
              <w:spacing w:after="0" w:line="240" w:lineRule="auto"/>
              <w:jc w:val="center"/>
              <w:rPr>
                <w:rFonts w:eastAsia="Times New Roman"/>
                <w:b/>
                <w:bCs/>
                <w:color w:val="000000"/>
                <w:sz w:val="22"/>
              </w:rPr>
            </w:pPr>
            <w:r>
              <w:rPr>
                <w:rFonts w:eastAsia="Times New Roman"/>
                <w:b/>
                <w:bCs/>
                <w:color w:val="000000"/>
                <w:sz w:val="22"/>
              </w:rPr>
              <w:t xml:space="preserve">Final RWA </w:t>
            </w:r>
            <w:r w:rsidR="003772FB" w:rsidRPr="003772FB">
              <w:rPr>
                <w:rFonts w:eastAsia="Times New Roman"/>
                <w:b/>
                <w:bCs/>
                <w:color w:val="000000"/>
                <w:sz w:val="22"/>
              </w:rPr>
              <w:t>Exemplary</w:t>
            </w:r>
          </w:p>
        </w:tc>
        <w:tc>
          <w:tcPr>
            <w:tcW w:w="3003" w:type="dxa"/>
            <w:tcBorders>
              <w:top w:val="nil"/>
              <w:left w:val="nil"/>
              <w:bottom w:val="nil"/>
              <w:right w:val="nil"/>
            </w:tcBorders>
            <w:shd w:val="clear" w:color="auto" w:fill="auto"/>
            <w:noWrap/>
            <w:vAlign w:val="bottom"/>
            <w:hideMark/>
          </w:tcPr>
          <w:p w14:paraId="4A8BCA76" w14:textId="77777777" w:rsidR="003772FB" w:rsidRPr="003772FB" w:rsidRDefault="003772FB" w:rsidP="003772FB">
            <w:pPr>
              <w:spacing w:after="0" w:line="240" w:lineRule="auto"/>
              <w:rPr>
                <w:rFonts w:eastAsia="Times New Roman"/>
                <w:color w:val="000000"/>
                <w:sz w:val="22"/>
              </w:rPr>
            </w:pPr>
          </w:p>
        </w:tc>
      </w:tr>
      <w:tr w:rsidR="003772FB" w:rsidRPr="003772FB" w14:paraId="2D401568" w14:textId="77777777" w:rsidTr="003772FB">
        <w:trPr>
          <w:trHeight w:val="315"/>
        </w:trPr>
        <w:tc>
          <w:tcPr>
            <w:tcW w:w="1385" w:type="dxa"/>
            <w:tcBorders>
              <w:top w:val="nil"/>
              <w:left w:val="nil"/>
              <w:bottom w:val="nil"/>
              <w:right w:val="nil"/>
            </w:tcBorders>
            <w:shd w:val="clear" w:color="auto" w:fill="auto"/>
            <w:noWrap/>
            <w:vAlign w:val="bottom"/>
            <w:hideMark/>
          </w:tcPr>
          <w:p w14:paraId="6E61954A" w14:textId="77777777" w:rsidR="003772FB" w:rsidRPr="003772FB" w:rsidRDefault="003772FB" w:rsidP="003772FB">
            <w:pPr>
              <w:spacing w:after="0" w:line="240" w:lineRule="auto"/>
              <w:rPr>
                <w:rFonts w:ascii="Calibri" w:eastAsia="Times New Roman" w:hAnsi="Calibri"/>
                <w:color w:val="000000"/>
                <w:sz w:val="22"/>
              </w:rPr>
            </w:pPr>
          </w:p>
        </w:tc>
        <w:tc>
          <w:tcPr>
            <w:tcW w:w="1729" w:type="dxa"/>
            <w:gridSpan w:val="3"/>
            <w:tcBorders>
              <w:top w:val="nil"/>
              <w:left w:val="nil"/>
              <w:bottom w:val="nil"/>
              <w:right w:val="nil"/>
            </w:tcBorders>
            <w:shd w:val="clear" w:color="auto" w:fill="auto"/>
            <w:noWrap/>
            <w:vAlign w:val="bottom"/>
            <w:hideMark/>
          </w:tcPr>
          <w:p w14:paraId="30A92F8B" w14:textId="77777777" w:rsidR="003772FB" w:rsidRPr="003772FB" w:rsidRDefault="003772FB" w:rsidP="003772FB">
            <w:pPr>
              <w:spacing w:after="0" w:line="240" w:lineRule="auto"/>
              <w:jc w:val="center"/>
              <w:rPr>
                <w:rFonts w:eastAsia="Times New Roman"/>
                <w:b/>
                <w:bCs/>
                <w:color w:val="000000"/>
                <w:sz w:val="22"/>
              </w:rPr>
            </w:pPr>
            <w:r w:rsidRPr="003772FB">
              <w:rPr>
                <w:rFonts w:eastAsia="Times New Roman"/>
                <w:b/>
                <w:bCs/>
                <w:color w:val="000000"/>
                <w:sz w:val="22"/>
              </w:rPr>
              <w:t>By Stage/RTEP</w:t>
            </w:r>
          </w:p>
        </w:tc>
        <w:tc>
          <w:tcPr>
            <w:tcW w:w="616" w:type="dxa"/>
            <w:tcBorders>
              <w:top w:val="nil"/>
              <w:left w:val="nil"/>
              <w:bottom w:val="nil"/>
              <w:right w:val="nil"/>
            </w:tcBorders>
            <w:shd w:val="clear" w:color="auto" w:fill="auto"/>
            <w:noWrap/>
            <w:vAlign w:val="bottom"/>
            <w:hideMark/>
          </w:tcPr>
          <w:p w14:paraId="6591C47B" w14:textId="77777777" w:rsidR="003772FB" w:rsidRPr="003772FB" w:rsidRDefault="003772FB" w:rsidP="003772FB">
            <w:pPr>
              <w:spacing w:after="0" w:line="240" w:lineRule="auto"/>
              <w:rPr>
                <w:rFonts w:eastAsia="Times New Roman"/>
                <w:color w:val="000000"/>
                <w:sz w:val="22"/>
              </w:rPr>
            </w:pPr>
          </w:p>
        </w:tc>
        <w:tc>
          <w:tcPr>
            <w:tcW w:w="1476" w:type="dxa"/>
            <w:tcBorders>
              <w:top w:val="nil"/>
              <w:left w:val="nil"/>
              <w:bottom w:val="nil"/>
              <w:right w:val="nil"/>
            </w:tcBorders>
            <w:shd w:val="clear" w:color="auto" w:fill="auto"/>
            <w:noWrap/>
            <w:vAlign w:val="bottom"/>
            <w:hideMark/>
          </w:tcPr>
          <w:p w14:paraId="242B8C7C" w14:textId="77777777" w:rsidR="003772FB" w:rsidRPr="003772FB" w:rsidRDefault="003772FB" w:rsidP="003772FB">
            <w:pPr>
              <w:spacing w:after="0" w:line="240" w:lineRule="auto"/>
              <w:jc w:val="center"/>
              <w:rPr>
                <w:rFonts w:eastAsia="Times New Roman"/>
                <w:b/>
                <w:bCs/>
                <w:color w:val="000000"/>
                <w:sz w:val="22"/>
              </w:rPr>
            </w:pPr>
            <w:r w:rsidRPr="003772FB">
              <w:rPr>
                <w:rFonts w:eastAsia="Times New Roman"/>
                <w:b/>
                <w:bCs/>
                <w:color w:val="000000"/>
                <w:sz w:val="22"/>
              </w:rPr>
              <w:t>Proficient</w:t>
            </w:r>
          </w:p>
        </w:tc>
        <w:tc>
          <w:tcPr>
            <w:tcW w:w="2246" w:type="dxa"/>
            <w:gridSpan w:val="3"/>
            <w:tcBorders>
              <w:top w:val="nil"/>
              <w:left w:val="nil"/>
              <w:bottom w:val="nil"/>
              <w:right w:val="nil"/>
            </w:tcBorders>
            <w:shd w:val="clear" w:color="auto" w:fill="auto"/>
            <w:noWrap/>
            <w:vAlign w:val="bottom"/>
            <w:hideMark/>
          </w:tcPr>
          <w:p w14:paraId="35B936CE" w14:textId="77777777" w:rsidR="003772FB" w:rsidRPr="003772FB" w:rsidRDefault="003772FB" w:rsidP="003772FB">
            <w:pPr>
              <w:spacing w:after="0" w:line="240" w:lineRule="auto"/>
              <w:jc w:val="center"/>
              <w:rPr>
                <w:rFonts w:eastAsia="Times New Roman"/>
                <w:b/>
                <w:bCs/>
                <w:color w:val="000000"/>
                <w:sz w:val="22"/>
              </w:rPr>
            </w:pPr>
            <w:r w:rsidRPr="003772FB">
              <w:rPr>
                <w:rFonts w:eastAsia="Times New Roman"/>
                <w:b/>
                <w:bCs/>
                <w:color w:val="000000"/>
                <w:sz w:val="22"/>
              </w:rPr>
              <w:t>By Stage/RTEP</w:t>
            </w:r>
          </w:p>
        </w:tc>
        <w:tc>
          <w:tcPr>
            <w:tcW w:w="3003" w:type="dxa"/>
            <w:tcBorders>
              <w:top w:val="nil"/>
              <w:left w:val="nil"/>
              <w:bottom w:val="nil"/>
              <w:right w:val="nil"/>
            </w:tcBorders>
            <w:shd w:val="clear" w:color="auto" w:fill="auto"/>
            <w:noWrap/>
            <w:vAlign w:val="bottom"/>
            <w:hideMark/>
          </w:tcPr>
          <w:p w14:paraId="1D785ACC" w14:textId="77777777" w:rsidR="003772FB" w:rsidRPr="003772FB" w:rsidRDefault="003772FB" w:rsidP="003772FB">
            <w:pPr>
              <w:spacing w:after="0" w:line="240" w:lineRule="auto"/>
              <w:rPr>
                <w:rFonts w:eastAsia="Times New Roman"/>
                <w:color w:val="000000"/>
                <w:sz w:val="22"/>
              </w:rPr>
            </w:pPr>
          </w:p>
        </w:tc>
      </w:tr>
      <w:tr w:rsidR="003772FB" w:rsidRPr="003772FB" w14:paraId="0F7BEA55" w14:textId="77777777" w:rsidTr="003772FB">
        <w:trPr>
          <w:trHeight w:val="315"/>
        </w:trPr>
        <w:tc>
          <w:tcPr>
            <w:tcW w:w="1385" w:type="dxa"/>
            <w:tcBorders>
              <w:top w:val="nil"/>
              <w:left w:val="nil"/>
              <w:bottom w:val="single" w:sz="4" w:space="0" w:color="auto"/>
              <w:right w:val="nil"/>
            </w:tcBorders>
            <w:shd w:val="clear" w:color="auto" w:fill="auto"/>
            <w:noWrap/>
            <w:vAlign w:val="bottom"/>
            <w:hideMark/>
          </w:tcPr>
          <w:p w14:paraId="0E8213B2" w14:textId="77777777" w:rsidR="003772FB" w:rsidRPr="003772FB" w:rsidRDefault="003772FB" w:rsidP="003772FB">
            <w:pPr>
              <w:spacing w:after="0" w:line="240" w:lineRule="auto"/>
              <w:jc w:val="center"/>
              <w:rPr>
                <w:rFonts w:eastAsia="Times New Roman"/>
                <w:b/>
                <w:bCs/>
                <w:color w:val="000000"/>
                <w:sz w:val="22"/>
              </w:rPr>
            </w:pPr>
            <w:r w:rsidRPr="003772FB">
              <w:rPr>
                <w:rFonts w:eastAsia="Times New Roman"/>
                <w:b/>
                <w:bCs/>
                <w:color w:val="000000"/>
                <w:sz w:val="22"/>
              </w:rPr>
              <w:t>Standard</w:t>
            </w:r>
          </w:p>
        </w:tc>
        <w:tc>
          <w:tcPr>
            <w:tcW w:w="403" w:type="dxa"/>
            <w:tcBorders>
              <w:top w:val="nil"/>
              <w:left w:val="nil"/>
              <w:bottom w:val="single" w:sz="4" w:space="0" w:color="auto"/>
              <w:right w:val="nil"/>
            </w:tcBorders>
            <w:shd w:val="clear" w:color="auto" w:fill="auto"/>
            <w:noWrap/>
            <w:vAlign w:val="bottom"/>
            <w:hideMark/>
          </w:tcPr>
          <w:p w14:paraId="2F3A5022" w14:textId="77777777" w:rsidR="003772FB" w:rsidRPr="003772FB" w:rsidRDefault="00F67133" w:rsidP="003772FB">
            <w:pPr>
              <w:spacing w:after="0" w:line="240" w:lineRule="auto"/>
              <w:jc w:val="center"/>
              <w:rPr>
                <w:rFonts w:eastAsia="Times New Roman"/>
                <w:b/>
                <w:bCs/>
                <w:color w:val="000000"/>
                <w:sz w:val="22"/>
              </w:rPr>
            </w:pPr>
            <w:r>
              <w:rPr>
                <w:rFonts w:eastAsia="Times New Roman"/>
                <w:b/>
                <w:bCs/>
                <w:color w:val="000000"/>
                <w:sz w:val="22"/>
              </w:rPr>
              <w:t>I</w:t>
            </w:r>
          </w:p>
        </w:tc>
        <w:tc>
          <w:tcPr>
            <w:tcW w:w="663" w:type="dxa"/>
            <w:tcBorders>
              <w:top w:val="nil"/>
              <w:left w:val="nil"/>
              <w:bottom w:val="single" w:sz="4" w:space="0" w:color="auto"/>
              <w:right w:val="nil"/>
            </w:tcBorders>
            <w:shd w:val="clear" w:color="auto" w:fill="auto"/>
            <w:noWrap/>
            <w:vAlign w:val="bottom"/>
            <w:hideMark/>
          </w:tcPr>
          <w:p w14:paraId="6B20F23B" w14:textId="77777777" w:rsidR="003772FB" w:rsidRPr="003772FB" w:rsidRDefault="00F67133" w:rsidP="003772FB">
            <w:pPr>
              <w:spacing w:after="0" w:line="240" w:lineRule="auto"/>
              <w:jc w:val="center"/>
              <w:rPr>
                <w:rFonts w:eastAsia="Times New Roman"/>
                <w:b/>
                <w:bCs/>
                <w:color w:val="000000"/>
                <w:sz w:val="22"/>
              </w:rPr>
            </w:pPr>
            <w:r>
              <w:rPr>
                <w:rFonts w:eastAsia="Times New Roman"/>
                <w:b/>
                <w:bCs/>
                <w:color w:val="000000"/>
                <w:sz w:val="22"/>
              </w:rPr>
              <w:t>II</w:t>
            </w:r>
          </w:p>
        </w:tc>
        <w:tc>
          <w:tcPr>
            <w:tcW w:w="663" w:type="dxa"/>
            <w:tcBorders>
              <w:top w:val="nil"/>
              <w:left w:val="nil"/>
              <w:bottom w:val="single" w:sz="4" w:space="0" w:color="auto"/>
              <w:right w:val="nil"/>
            </w:tcBorders>
            <w:shd w:val="clear" w:color="auto" w:fill="auto"/>
            <w:noWrap/>
            <w:vAlign w:val="bottom"/>
            <w:hideMark/>
          </w:tcPr>
          <w:p w14:paraId="69F99F04" w14:textId="77777777" w:rsidR="003772FB" w:rsidRPr="003772FB" w:rsidRDefault="00F67133" w:rsidP="003772FB">
            <w:pPr>
              <w:spacing w:after="0" w:line="240" w:lineRule="auto"/>
              <w:jc w:val="center"/>
              <w:rPr>
                <w:rFonts w:eastAsia="Times New Roman"/>
                <w:b/>
                <w:bCs/>
                <w:color w:val="000000"/>
                <w:sz w:val="22"/>
              </w:rPr>
            </w:pPr>
            <w:r>
              <w:rPr>
                <w:rFonts w:eastAsia="Times New Roman"/>
                <w:b/>
                <w:bCs/>
                <w:color w:val="000000"/>
                <w:sz w:val="22"/>
              </w:rPr>
              <w:t>III</w:t>
            </w:r>
          </w:p>
        </w:tc>
        <w:tc>
          <w:tcPr>
            <w:tcW w:w="616" w:type="dxa"/>
            <w:tcBorders>
              <w:top w:val="nil"/>
              <w:left w:val="nil"/>
              <w:bottom w:val="single" w:sz="4" w:space="0" w:color="auto"/>
              <w:right w:val="nil"/>
            </w:tcBorders>
            <w:shd w:val="clear" w:color="auto" w:fill="auto"/>
            <w:noWrap/>
            <w:vAlign w:val="bottom"/>
            <w:hideMark/>
          </w:tcPr>
          <w:p w14:paraId="285657B6" w14:textId="77777777" w:rsidR="003772FB" w:rsidRPr="003772FB" w:rsidRDefault="003772FB" w:rsidP="003772FB">
            <w:pPr>
              <w:spacing w:after="0" w:line="240" w:lineRule="auto"/>
              <w:jc w:val="center"/>
              <w:rPr>
                <w:rFonts w:eastAsia="Times New Roman"/>
                <w:b/>
                <w:bCs/>
                <w:color w:val="000000"/>
                <w:sz w:val="22"/>
              </w:rPr>
            </w:pPr>
            <w:r w:rsidRPr="003772FB">
              <w:rPr>
                <w:rFonts w:eastAsia="Times New Roman"/>
                <w:b/>
                <w:bCs/>
                <w:color w:val="000000"/>
                <w:sz w:val="22"/>
              </w:rPr>
              <w:t>Pts</w:t>
            </w:r>
          </w:p>
        </w:tc>
        <w:tc>
          <w:tcPr>
            <w:tcW w:w="1476" w:type="dxa"/>
            <w:tcBorders>
              <w:top w:val="nil"/>
              <w:left w:val="nil"/>
              <w:bottom w:val="single" w:sz="4" w:space="0" w:color="auto"/>
              <w:right w:val="nil"/>
            </w:tcBorders>
            <w:shd w:val="clear" w:color="auto" w:fill="auto"/>
            <w:noWrap/>
            <w:vAlign w:val="bottom"/>
            <w:hideMark/>
          </w:tcPr>
          <w:p w14:paraId="136FB33E" w14:textId="77777777" w:rsidR="003772FB" w:rsidRPr="003772FB" w:rsidRDefault="003772FB" w:rsidP="003772FB">
            <w:pPr>
              <w:spacing w:after="0" w:line="240" w:lineRule="auto"/>
              <w:jc w:val="center"/>
              <w:rPr>
                <w:rFonts w:eastAsia="Times New Roman"/>
                <w:b/>
                <w:bCs/>
                <w:color w:val="000000"/>
                <w:sz w:val="22"/>
              </w:rPr>
            </w:pPr>
            <w:r w:rsidRPr="003772FB">
              <w:rPr>
                <w:rFonts w:eastAsia="Times New Roman"/>
                <w:b/>
                <w:bCs/>
                <w:color w:val="000000"/>
                <w:sz w:val="22"/>
              </w:rPr>
              <w:t>All Stages</w:t>
            </w:r>
          </w:p>
        </w:tc>
        <w:tc>
          <w:tcPr>
            <w:tcW w:w="822" w:type="dxa"/>
            <w:tcBorders>
              <w:top w:val="nil"/>
              <w:left w:val="nil"/>
              <w:bottom w:val="single" w:sz="4" w:space="0" w:color="auto"/>
              <w:right w:val="nil"/>
            </w:tcBorders>
            <w:shd w:val="clear" w:color="auto" w:fill="auto"/>
            <w:noWrap/>
            <w:vAlign w:val="bottom"/>
            <w:hideMark/>
          </w:tcPr>
          <w:p w14:paraId="3F3C07FF" w14:textId="77777777" w:rsidR="003772FB" w:rsidRPr="003772FB" w:rsidRDefault="00F67133" w:rsidP="003772FB">
            <w:pPr>
              <w:spacing w:after="0" w:line="240" w:lineRule="auto"/>
              <w:jc w:val="center"/>
              <w:rPr>
                <w:rFonts w:eastAsia="Times New Roman"/>
                <w:b/>
                <w:bCs/>
                <w:color w:val="000000"/>
                <w:sz w:val="22"/>
              </w:rPr>
            </w:pPr>
            <w:r>
              <w:rPr>
                <w:rFonts w:eastAsia="Times New Roman"/>
                <w:b/>
                <w:bCs/>
                <w:color w:val="000000"/>
                <w:sz w:val="22"/>
              </w:rPr>
              <w:t>I</w:t>
            </w:r>
          </w:p>
        </w:tc>
        <w:tc>
          <w:tcPr>
            <w:tcW w:w="712" w:type="dxa"/>
            <w:tcBorders>
              <w:top w:val="nil"/>
              <w:left w:val="nil"/>
              <w:bottom w:val="single" w:sz="4" w:space="0" w:color="auto"/>
              <w:right w:val="nil"/>
            </w:tcBorders>
            <w:shd w:val="clear" w:color="auto" w:fill="auto"/>
            <w:noWrap/>
            <w:vAlign w:val="bottom"/>
            <w:hideMark/>
          </w:tcPr>
          <w:p w14:paraId="7D0B9D7F" w14:textId="77777777" w:rsidR="003772FB" w:rsidRPr="003772FB" w:rsidRDefault="00F67133" w:rsidP="00F67133">
            <w:pPr>
              <w:spacing w:after="0" w:line="240" w:lineRule="auto"/>
              <w:jc w:val="center"/>
              <w:rPr>
                <w:rFonts w:eastAsia="Times New Roman"/>
                <w:b/>
                <w:bCs/>
                <w:color w:val="000000"/>
                <w:sz w:val="22"/>
              </w:rPr>
            </w:pPr>
            <w:r>
              <w:rPr>
                <w:rFonts w:eastAsia="Times New Roman"/>
                <w:b/>
                <w:bCs/>
                <w:color w:val="000000"/>
                <w:sz w:val="22"/>
              </w:rPr>
              <w:t>II</w:t>
            </w:r>
          </w:p>
        </w:tc>
        <w:tc>
          <w:tcPr>
            <w:tcW w:w="712" w:type="dxa"/>
            <w:tcBorders>
              <w:top w:val="nil"/>
              <w:left w:val="nil"/>
              <w:bottom w:val="single" w:sz="4" w:space="0" w:color="auto"/>
              <w:right w:val="nil"/>
            </w:tcBorders>
            <w:shd w:val="clear" w:color="auto" w:fill="auto"/>
            <w:noWrap/>
            <w:vAlign w:val="bottom"/>
            <w:hideMark/>
          </w:tcPr>
          <w:p w14:paraId="41A60580" w14:textId="77777777" w:rsidR="003772FB" w:rsidRPr="003772FB" w:rsidRDefault="00F67133" w:rsidP="00F67133">
            <w:pPr>
              <w:spacing w:after="0" w:line="240" w:lineRule="auto"/>
              <w:jc w:val="center"/>
              <w:rPr>
                <w:rFonts w:eastAsia="Times New Roman"/>
                <w:b/>
                <w:bCs/>
                <w:color w:val="000000"/>
                <w:sz w:val="22"/>
              </w:rPr>
            </w:pPr>
            <w:r>
              <w:rPr>
                <w:rFonts w:eastAsia="Times New Roman"/>
                <w:b/>
                <w:bCs/>
                <w:color w:val="000000"/>
                <w:sz w:val="22"/>
              </w:rPr>
              <w:t>III</w:t>
            </w:r>
          </w:p>
        </w:tc>
        <w:tc>
          <w:tcPr>
            <w:tcW w:w="3003" w:type="dxa"/>
            <w:tcBorders>
              <w:top w:val="nil"/>
              <w:left w:val="nil"/>
              <w:bottom w:val="single" w:sz="4" w:space="0" w:color="auto"/>
              <w:right w:val="nil"/>
            </w:tcBorders>
            <w:shd w:val="clear" w:color="auto" w:fill="auto"/>
            <w:noWrap/>
            <w:vAlign w:val="bottom"/>
            <w:hideMark/>
          </w:tcPr>
          <w:p w14:paraId="192DDCCA" w14:textId="77777777" w:rsidR="003772FB" w:rsidRPr="003772FB" w:rsidRDefault="003772FB" w:rsidP="003772FB">
            <w:pPr>
              <w:spacing w:after="0" w:line="240" w:lineRule="auto"/>
              <w:jc w:val="center"/>
              <w:rPr>
                <w:rFonts w:eastAsia="Times New Roman"/>
                <w:b/>
                <w:bCs/>
                <w:color w:val="000000"/>
                <w:sz w:val="22"/>
              </w:rPr>
            </w:pPr>
            <w:r w:rsidRPr="003772FB">
              <w:rPr>
                <w:rFonts w:eastAsia="Times New Roman"/>
                <w:b/>
                <w:bCs/>
                <w:color w:val="000000"/>
                <w:sz w:val="22"/>
              </w:rPr>
              <w:t>InTASC Descriptor</w:t>
            </w:r>
          </w:p>
        </w:tc>
      </w:tr>
      <w:tr w:rsidR="003772FB" w:rsidRPr="003772FB" w14:paraId="2D8E0220" w14:textId="77777777" w:rsidTr="003772FB">
        <w:trPr>
          <w:trHeight w:val="315"/>
        </w:trPr>
        <w:tc>
          <w:tcPr>
            <w:tcW w:w="1385" w:type="dxa"/>
            <w:tcBorders>
              <w:top w:val="nil"/>
              <w:left w:val="nil"/>
              <w:bottom w:val="nil"/>
              <w:right w:val="nil"/>
            </w:tcBorders>
            <w:shd w:val="clear" w:color="auto" w:fill="auto"/>
            <w:noWrap/>
            <w:vAlign w:val="bottom"/>
            <w:hideMark/>
          </w:tcPr>
          <w:p w14:paraId="1FD97428" w14:textId="77777777" w:rsidR="003772FB" w:rsidRPr="003772FB" w:rsidRDefault="003772FB" w:rsidP="003772FB">
            <w:pPr>
              <w:spacing w:after="0" w:line="240" w:lineRule="auto"/>
              <w:jc w:val="right"/>
              <w:rPr>
                <w:rFonts w:eastAsia="Times New Roman"/>
                <w:b/>
                <w:bCs/>
                <w:color w:val="000000"/>
                <w:sz w:val="20"/>
                <w:szCs w:val="20"/>
              </w:rPr>
            </w:pPr>
            <w:r w:rsidRPr="003772FB">
              <w:rPr>
                <w:rFonts w:eastAsia="Times New Roman"/>
                <w:b/>
                <w:bCs/>
                <w:color w:val="000000"/>
                <w:sz w:val="20"/>
                <w:szCs w:val="20"/>
              </w:rPr>
              <w:t>InTASC 1</w:t>
            </w:r>
          </w:p>
        </w:tc>
        <w:tc>
          <w:tcPr>
            <w:tcW w:w="403" w:type="dxa"/>
            <w:tcBorders>
              <w:top w:val="nil"/>
              <w:left w:val="nil"/>
              <w:bottom w:val="nil"/>
              <w:right w:val="nil"/>
            </w:tcBorders>
            <w:shd w:val="clear" w:color="auto" w:fill="auto"/>
            <w:noWrap/>
            <w:vAlign w:val="bottom"/>
            <w:hideMark/>
          </w:tcPr>
          <w:p w14:paraId="7449DBA0"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1</w:t>
            </w:r>
          </w:p>
        </w:tc>
        <w:tc>
          <w:tcPr>
            <w:tcW w:w="663" w:type="dxa"/>
            <w:tcBorders>
              <w:top w:val="nil"/>
              <w:left w:val="nil"/>
              <w:bottom w:val="nil"/>
              <w:right w:val="nil"/>
            </w:tcBorders>
            <w:shd w:val="clear" w:color="auto" w:fill="auto"/>
            <w:noWrap/>
            <w:vAlign w:val="bottom"/>
            <w:hideMark/>
          </w:tcPr>
          <w:p w14:paraId="507B72B3"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63" w:type="dxa"/>
            <w:tcBorders>
              <w:top w:val="nil"/>
              <w:left w:val="nil"/>
              <w:bottom w:val="nil"/>
              <w:right w:val="nil"/>
            </w:tcBorders>
            <w:shd w:val="clear" w:color="auto" w:fill="auto"/>
            <w:noWrap/>
            <w:vAlign w:val="bottom"/>
            <w:hideMark/>
          </w:tcPr>
          <w:p w14:paraId="2AEC1452"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16" w:type="dxa"/>
            <w:tcBorders>
              <w:top w:val="nil"/>
              <w:left w:val="nil"/>
              <w:bottom w:val="nil"/>
              <w:right w:val="nil"/>
            </w:tcBorders>
            <w:shd w:val="clear" w:color="auto" w:fill="auto"/>
            <w:noWrap/>
            <w:vAlign w:val="bottom"/>
            <w:hideMark/>
          </w:tcPr>
          <w:p w14:paraId="3DD458B8" w14:textId="77777777" w:rsidR="003772FB" w:rsidRPr="003772FB" w:rsidRDefault="003772FB" w:rsidP="003772FB">
            <w:pPr>
              <w:spacing w:after="0" w:line="240" w:lineRule="auto"/>
              <w:jc w:val="right"/>
              <w:rPr>
                <w:rFonts w:eastAsia="Times New Roman"/>
                <w:color w:val="000000"/>
                <w:sz w:val="20"/>
                <w:szCs w:val="20"/>
              </w:rPr>
            </w:pPr>
            <w:r w:rsidRPr="003772FB">
              <w:rPr>
                <w:rFonts w:eastAsia="Times New Roman"/>
                <w:color w:val="000000"/>
                <w:sz w:val="20"/>
                <w:szCs w:val="20"/>
              </w:rPr>
              <w:t>135</w:t>
            </w:r>
          </w:p>
        </w:tc>
        <w:tc>
          <w:tcPr>
            <w:tcW w:w="1476" w:type="dxa"/>
            <w:tcBorders>
              <w:top w:val="nil"/>
              <w:left w:val="nil"/>
              <w:bottom w:val="nil"/>
              <w:right w:val="nil"/>
            </w:tcBorders>
            <w:shd w:val="clear" w:color="auto" w:fill="auto"/>
            <w:noWrap/>
            <w:vAlign w:val="bottom"/>
            <w:hideMark/>
          </w:tcPr>
          <w:p w14:paraId="165C56E6" w14:textId="77777777" w:rsidR="003772FB" w:rsidRPr="00806D37" w:rsidRDefault="003772FB" w:rsidP="003772FB">
            <w:pPr>
              <w:spacing w:after="0" w:line="240" w:lineRule="auto"/>
              <w:jc w:val="center"/>
              <w:rPr>
                <w:rFonts w:eastAsia="Times New Roman"/>
                <w:b/>
                <w:color w:val="000000"/>
                <w:sz w:val="20"/>
                <w:szCs w:val="20"/>
              </w:rPr>
            </w:pPr>
            <w:r w:rsidRPr="00806D37">
              <w:rPr>
                <w:rFonts w:eastAsia="Times New Roman"/>
                <w:b/>
                <w:color w:val="000000"/>
                <w:sz w:val="20"/>
                <w:szCs w:val="20"/>
              </w:rPr>
              <w:t>93%</w:t>
            </w:r>
          </w:p>
        </w:tc>
        <w:tc>
          <w:tcPr>
            <w:tcW w:w="822" w:type="dxa"/>
            <w:tcBorders>
              <w:top w:val="nil"/>
              <w:left w:val="nil"/>
              <w:bottom w:val="nil"/>
              <w:right w:val="nil"/>
            </w:tcBorders>
            <w:shd w:val="clear" w:color="auto" w:fill="auto"/>
            <w:noWrap/>
            <w:vAlign w:val="bottom"/>
            <w:hideMark/>
          </w:tcPr>
          <w:p w14:paraId="6F7E770A" w14:textId="77777777" w:rsidR="003772FB" w:rsidRPr="003772FB" w:rsidRDefault="00CD62B1" w:rsidP="00CD62B1">
            <w:pPr>
              <w:spacing w:after="0" w:line="240" w:lineRule="auto"/>
              <w:jc w:val="center"/>
              <w:rPr>
                <w:rFonts w:eastAsia="Times New Roman"/>
                <w:color w:val="000000"/>
                <w:sz w:val="20"/>
                <w:szCs w:val="20"/>
              </w:rPr>
            </w:pPr>
            <w:r>
              <w:rPr>
                <w:rFonts w:eastAsia="Times New Roman"/>
                <w:color w:val="000000"/>
                <w:sz w:val="20"/>
                <w:szCs w:val="20"/>
              </w:rPr>
              <w:t>0</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61A9B164" w14:textId="77777777" w:rsidR="003772FB" w:rsidRPr="003772FB" w:rsidRDefault="00CD62B1" w:rsidP="003772FB">
            <w:pPr>
              <w:spacing w:after="0" w:line="240" w:lineRule="auto"/>
              <w:jc w:val="right"/>
              <w:rPr>
                <w:rFonts w:eastAsia="Times New Roman"/>
                <w:color w:val="000000"/>
                <w:sz w:val="20"/>
                <w:szCs w:val="20"/>
              </w:rPr>
            </w:pPr>
            <w:r>
              <w:rPr>
                <w:rFonts w:eastAsia="Times New Roman"/>
                <w:color w:val="000000"/>
                <w:sz w:val="20"/>
                <w:szCs w:val="20"/>
              </w:rPr>
              <w:t>13</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460745C9" w14:textId="77777777" w:rsidR="003772FB" w:rsidRPr="003772FB" w:rsidRDefault="00986F4E" w:rsidP="003772FB">
            <w:pPr>
              <w:spacing w:after="0" w:line="240" w:lineRule="auto"/>
              <w:jc w:val="center"/>
              <w:rPr>
                <w:rFonts w:eastAsia="Times New Roman"/>
                <w:color w:val="000000"/>
                <w:sz w:val="20"/>
                <w:szCs w:val="20"/>
              </w:rPr>
            </w:pPr>
            <w:r>
              <w:rPr>
                <w:rFonts w:eastAsia="Times New Roman"/>
                <w:color w:val="000000"/>
                <w:sz w:val="20"/>
                <w:szCs w:val="20"/>
              </w:rPr>
              <w:t>21</w:t>
            </w:r>
            <w:r w:rsidR="003772FB" w:rsidRPr="003772FB">
              <w:rPr>
                <w:rFonts w:eastAsia="Times New Roman"/>
                <w:color w:val="000000"/>
                <w:sz w:val="20"/>
                <w:szCs w:val="20"/>
              </w:rPr>
              <w:t>%</w:t>
            </w:r>
          </w:p>
        </w:tc>
        <w:tc>
          <w:tcPr>
            <w:tcW w:w="3003" w:type="dxa"/>
            <w:tcBorders>
              <w:top w:val="nil"/>
              <w:left w:val="nil"/>
              <w:bottom w:val="nil"/>
              <w:right w:val="nil"/>
            </w:tcBorders>
            <w:shd w:val="clear" w:color="auto" w:fill="auto"/>
            <w:noWrap/>
            <w:vAlign w:val="bottom"/>
            <w:hideMark/>
          </w:tcPr>
          <w:p w14:paraId="200CFE8C" w14:textId="77777777" w:rsidR="003772FB" w:rsidRPr="003772FB" w:rsidRDefault="003772FB" w:rsidP="003772FB">
            <w:pPr>
              <w:spacing w:after="0" w:line="240" w:lineRule="auto"/>
              <w:rPr>
                <w:rFonts w:eastAsia="Times New Roman"/>
                <w:b/>
                <w:bCs/>
                <w:color w:val="000000"/>
                <w:sz w:val="20"/>
                <w:szCs w:val="20"/>
              </w:rPr>
            </w:pPr>
            <w:r w:rsidRPr="003772FB">
              <w:rPr>
                <w:rFonts w:eastAsia="Times New Roman"/>
                <w:b/>
                <w:bCs/>
                <w:color w:val="000000"/>
                <w:sz w:val="20"/>
                <w:szCs w:val="20"/>
              </w:rPr>
              <w:t>Learner Development</w:t>
            </w:r>
          </w:p>
        </w:tc>
      </w:tr>
      <w:tr w:rsidR="003772FB" w:rsidRPr="003772FB" w14:paraId="36B51DF9" w14:textId="77777777" w:rsidTr="003772FB">
        <w:trPr>
          <w:trHeight w:val="315"/>
        </w:trPr>
        <w:tc>
          <w:tcPr>
            <w:tcW w:w="1385" w:type="dxa"/>
            <w:tcBorders>
              <w:top w:val="nil"/>
              <w:left w:val="nil"/>
              <w:bottom w:val="nil"/>
              <w:right w:val="nil"/>
            </w:tcBorders>
            <w:shd w:val="clear" w:color="auto" w:fill="auto"/>
            <w:noWrap/>
            <w:vAlign w:val="bottom"/>
            <w:hideMark/>
          </w:tcPr>
          <w:p w14:paraId="3BF4411E" w14:textId="77777777" w:rsidR="003772FB" w:rsidRPr="003772FB" w:rsidRDefault="003772FB" w:rsidP="003772FB">
            <w:pPr>
              <w:spacing w:after="0" w:line="240" w:lineRule="auto"/>
              <w:jc w:val="right"/>
              <w:rPr>
                <w:rFonts w:eastAsia="Times New Roman"/>
                <w:b/>
                <w:bCs/>
                <w:color w:val="000000"/>
                <w:sz w:val="20"/>
                <w:szCs w:val="20"/>
              </w:rPr>
            </w:pPr>
            <w:r w:rsidRPr="003772FB">
              <w:rPr>
                <w:rFonts w:eastAsia="Times New Roman"/>
                <w:b/>
                <w:bCs/>
                <w:color w:val="000000"/>
                <w:sz w:val="20"/>
                <w:szCs w:val="20"/>
              </w:rPr>
              <w:t>InTASC 2</w:t>
            </w:r>
          </w:p>
        </w:tc>
        <w:tc>
          <w:tcPr>
            <w:tcW w:w="403" w:type="dxa"/>
            <w:tcBorders>
              <w:top w:val="nil"/>
              <w:left w:val="nil"/>
              <w:bottom w:val="nil"/>
              <w:right w:val="nil"/>
            </w:tcBorders>
            <w:shd w:val="clear" w:color="auto" w:fill="auto"/>
            <w:noWrap/>
            <w:vAlign w:val="bottom"/>
            <w:hideMark/>
          </w:tcPr>
          <w:p w14:paraId="2472FE48"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1</w:t>
            </w:r>
          </w:p>
        </w:tc>
        <w:tc>
          <w:tcPr>
            <w:tcW w:w="663" w:type="dxa"/>
            <w:tcBorders>
              <w:top w:val="nil"/>
              <w:left w:val="nil"/>
              <w:bottom w:val="nil"/>
              <w:right w:val="nil"/>
            </w:tcBorders>
            <w:shd w:val="clear" w:color="auto" w:fill="auto"/>
            <w:noWrap/>
            <w:vAlign w:val="bottom"/>
            <w:hideMark/>
          </w:tcPr>
          <w:p w14:paraId="6A91D696"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63" w:type="dxa"/>
            <w:tcBorders>
              <w:top w:val="nil"/>
              <w:left w:val="nil"/>
              <w:bottom w:val="nil"/>
              <w:right w:val="nil"/>
            </w:tcBorders>
            <w:shd w:val="clear" w:color="auto" w:fill="auto"/>
            <w:noWrap/>
            <w:vAlign w:val="bottom"/>
            <w:hideMark/>
          </w:tcPr>
          <w:p w14:paraId="77E22ECD"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16" w:type="dxa"/>
            <w:tcBorders>
              <w:top w:val="nil"/>
              <w:left w:val="nil"/>
              <w:bottom w:val="nil"/>
              <w:right w:val="nil"/>
            </w:tcBorders>
            <w:shd w:val="clear" w:color="auto" w:fill="auto"/>
            <w:noWrap/>
            <w:vAlign w:val="bottom"/>
            <w:hideMark/>
          </w:tcPr>
          <w:p w14:paraId="3B2A6768" w14:textId="77777777" w:rsidR="003772FB" w:rsidRPr="003772FB" w:rsidRDefault="003772FB" w:rsidP="003772FB">
            <w:pPr>
              <w:spacing w:after="0" w:line="240" w:lineRule="auto"/>
              <w:jc w:val="right"/>
              <w:rPr>
                <w:rFonts w:eastAsia="Times New Roman"/>
                <w:color w:val="000000"/>
                <w:sz w:val="20"/>
                <w:szCs w:val="20"/>
              </w:rPr>
            </w:pPr>
            <w:r w:rsidRPr="003772FB">
              <w:rPr>
                <w:rFonts w:eastAsia="Times New Roman"/>
                <w:color w:val="000000"/>
                <w:sz w:val="20"/>
                <w:szCs w:val="20"/>
              </w:rPr>
              <w:t>134</w:t>
            </w:r>
          </w:p>
        </w:tc>
        <w:tc>
          <w:tcPr>
            <w:tcW w:w="1476" w:type="dxa"/>
            <w:tcBorders>
              <w:top w:val="nil"/>
              <w:left w:val="nil"/>
              <w:bottom w:val="nil"/>
              <w:right w:val="nil"/>
            </w:tcBorders>
            <w:shd w:val="clear" w:color="auto" w:fill="auto"/>
            <w:noWrap/>
            <w:vAlign w:val="bottom"/>
            <w:hideMark/>
          </w:tcPr>
          <w:p w14:paraId="64CDE136" w14:textId="77777777" w:rsidR="003772FB" w:rsidRPr="00806D37" w:rsidRDefault="003772FB" w:rsidP="003772FB">
            <w:pPr>
              <w:spacing w:after="0" w:line="240" w:lineRule="auto"/>
              <w:jc w:val="center"/>
              <w:rPr>
                <w:rFonts w:eastAsia="Times New Roman"/>
                <w:b/>
                <w:color w:val="000000"/>
                <w:sz w:val="20"/>
                <w:szCs w:val="20"/>
              </w:rPr>
            </w:pPr>
            <w:r w:rsidRPr="00806D37">
              <w:rPr>
                <w:rFonts w:eastAsia="Times New Roman"/>
                <w:b/>
                <w:color w:val="000000"/>
                <w:sz w:val="20"/>
                <w:szCs w:val="20"/>
              </w:rPr>
              <w:t>95%</w:t>
            </w:r>
          </w:p>
        </w:tc>
        <w:tc>
          <w:tcPr>
            <w:tcW w:w="822" w:type="dxa"/>
            <w:tcBorders>
              <w:top w:val="nil"/>
              <w:left w:val="nil"/>
              <w:bottom w:val="nil"/>
              <w:right w:val="nil"/>
            </w:tcBorders>
            <w:shd w:val="clear" w:color="auto" w:fill="auto"/>
            <w:noWrap/>
            <w:vAlign w:val="bottom"/>
            <w:hideMark/>
          </w:tcPr>
          <w:p w14:paraId="4945CC0D" w14:textId="77777777" w:rsidR="003772FB" w:rsidRPr="003772FB" w:rsidRDefault="00CD62B1" w:rsidP="00CD62B1">
            <w:pPr>
              <w:spacing w:after="0" w:line="240" w:lineRule="auto"/>
              <w:jc w:val="center"/>
              <w:rPr>
                <w:rFonts w:eastAsia="Times New Roman"/>
                <w:color w:val="000000"/>
                <w:sz w:val="20"/>
                <w:szCs w:val="20"/>
              </w:rPr>
            </w:pPr>
            <w:r>
              <w:rPr>
                <w:rFonts w:eastAsia="Times New Roman"/>
                <w:color w:val="000000"/>
                <w:sz w:val="20"/>
                <w:szCs w:val="20"/>
              </w:rPr>
              <w:t>7</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15B1FD18" w14:textId="77777777" w:rsidR="003772FB" w:rsidRPr="003772FB" w:rsidRDefault="00CD62B1" w:rsidP="003772FB">
            <w:pPr>
              <w:spacing w:after="0" w:line="240" w:lineRule="auto"/>
              <w:jc w:val="right"/>
              <w:rPr>
                <w:rFonts w:eastAsia="Times New Roman"/>
                <w:color w:val="000000"/>
                <w:sz w:val="20"/>
                <w:szCs w:val="20"/>
              </w:rPr>
            </w:pPr>
            <w:r>
              <w:rPr>
                <w:rFonts w:eastAsia="Times New Roman"/>
                <w:color w:val="000000"/>
                <w:sz w:val="20"/>
                <w:szCs w:val="20"/>
              </w:rPr>
              <w:t>13</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68474A8C" w14:textId="77777777" w:rsidR="003772FB" w:rsidRPr="003772FB" w:rsidRDefault="00986F4E" w:rsidP="003772FB">
            <w:pPr>
              <w:spacing w:after="0" w:line="240" w:lineRule="auto"/>
              <w:jc w:val="center"/>
              <w:rPr>
                <w:rFonts w:eastAsia="Times New Roman"/>
                <w:color w:val="000000"/>
                <w:sz w:val="20"/>
                <w:szCs w:val="20"/>
              </w:rPr>
            </w:pPr>
            <w:r>
              <w:rPr>
                <w:rFonts w:eastAsia="Times New Roman"/>
                <w:color w:val="000000"/>
                <w:sz w:val="20"/>
                <w:szCs w:val="20"/>
              </w:rPr>
              <w:t>21</w:t>
            </w:r>
            <w:r w:rsidR="003772FB" w:rsidRPr="003772FB">
              <w:rPr>
                <w:rFonts w:eastAsia="Times New Roman"/>
                <w:color w:val="000000"/>
                <w:sz w:val="20"/>
                <w:szCs w:val="20"/>
              </w:rPr>
              <w:t>%</w:t>
            </w:r>
          </w:p>
        </w:tc>
        <w:tc>
          <w:tcPr>
            <w:tcW w:w="3003" w:type="dxa"/>
            <w:tcBorders>
              <w:top w:val="nil"/>
              <w:left w:val="nil"/>
              <w:bottom w:val="nil"/>
              <w:right w:val="nil"/>
            </w:tcBorders>
            <w:shd w:val="clear" w:color="auto" w:fill="auto"/>
            <w:noWrap/>
            <w:vAlign w:val="bottom"/>
            <w:hideMark/>
          </w:tcPr>
          <w:p w14:paraId="1203CBFB" w14:textId="77777777" w:rsidR="003772FB" w:rsidRPr="003772FB" w:rsidRDefault="003772FB" w:rsidP="003772FB">
            <w:pPr>
              <w:spacing w:after="0" w:line="240" w:lineRule="auto"/>
              <w:rPr>
                <w:rFonts w:eastAsia="Times New Roman"/>
                <w:b/>
                <w:bCs/>
                <w:color w:val="000000"/>
                <w:sz w:val="20"/>
                <w:szCs w:val="20"/>
              </w:rPr>
            </w:pPr>
            <w:r w:rsidRPr="003772FB">
              <w:rPr>
                <w:rFonts w:eastAsia="Times New Roman"/>
                <w:b/>
                <w:bCs/>
                <w:color w:val="000000"/>
                <w:sz w:val="20"/>
                <w:szCs w:val="20"/>
              </w:rPr>
              <w:t>Learning Differences</w:t>
            </w:r>
          </w:p>
        </w:tc>
      </w:tr>
      <w:tr w:rsidR="003772FB" w:rsidRPr="003772FB" w14:paraId="09A67D61" w14:textId="77777777" w:rsidTr="003772FB">
        <w:trPr>
          <w:trHeight w:val="315"/>
        </w:trPr>
        <w:tc>
          <w:tcPr>
            <w:tcW w:w="1385" w:type="dxa"/>
            <w:tcBorders>
              <w:top w:val="nil"/>
              <w:left w:val="nil"/>
              <w:bottom w:val="nil"/>
              <w:right w:val="nil"/>
            </w:tcBorders>
            <w:shd w:val="clear" w:color="auto" w:fill="auto"/>
            <w:noWrap/>
            <w:vAlign w:val="bottom"/>
            <w:hideMark/>
          </w:tcPr>
          <w:p w14:paraId="5D4B9F5D" w14:textId="77777777" w:rsidR="003772FB" w:rsidRPr="003772FB" w:rsidRDefault="003772FB" w:rsidP="003772FB">
            <w:pPr>
              <w:spacing w:after="0" w:line="240" w:lineRule="auto"/>
              <w:jc w:val="right"/>
              <w:rPr>
                <w:rFonts w:eastAsia="Times New Roman"/>
                <w:b/>
                <w:bCs/>
                <w:color w:val="000000"/>
                <w:sz w:val="20"/>
                <w:szCs w:val="20"/>
              </w:rPr>
            </w:pPr>
            <w:r w:rsidRPr="003772FB">
              <w:rPr>
                <w:rFonts w:eastAsia="Times New Roman"/>
                <w:b/>
                <w:bCs/>
                <w:color w:val="000000"/>
                <w:sz w:val="20"/>
                <w:szCs w:val="20"/>
              </w:rPr>
              <w:t>InTASC 3</w:t>
            </w:r>
          </w:p>
        </w:tc>
        <w:tc>
          <w:tcPr>
            <w:tcW w:w="403" w:type="dxa"/>
            <w:tcBorders>
              <w:top w:val="nil"/>
              <w:left w:val="nil"/>
              <w:bottom w:val="nil"/>
              <w:right w:val="nil"/>
            </w:tcBorders>
            <w:shd w:val="clear" w:color="auto" w:fill="auto"/>
            <w:noWrap/>
            <w:vAlign w:val="bottom"/>
            <w:hideMark/>
          </w:tcPr>
          <w:p w14:paraId="392D9EAF" w14:textId="77777777" w:rsidR="003772FB" w:rsidRPr="003772FB" w:rsidRDefault="003772FB" w:rsidP="003772FB">
            <w:pPr>
              <w:spacing w:after="0" w:line="240" w:lineRule="auto"/>
              <w:jc w:val="center"/>
              <w:rPr>
                <w:rFonts w:eastAsia="Times New Roman"/>
                <w:color w:val="000000"/>
                <w:sz w:val="20"/>
                <w:szCs w:val="20"/>
              </w:rPr>
            </w:pPr>
          </w:p>
        </w:tc>
        <w:tc>
          <w:tcPr>
            <w:tcW w:w="663" w:type="dxa"/>
            <w:tcBorders>
              <w:top w:val="nil"/>
              <w:left w:val="nil"/>
              <w:bottom w:val="nil"/>
              <w:right w:val="nil"/>
            </w:tcBorders>
            <w:shd w:val="clear" w:color="auto" w:fill="auto"/>
            <w:noWrap/>
            <w:vAlign w:val="bottom"/>
            <w:hideMark/>
          </w:tcPr>
          <w:p w14:paraId="262D68A2"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63" w:type="dxa"/>
            <w:tcBorders>
              <w:top w:val="nil"/>
              <w:left w:val="nil"/>
              <w:bottom w:val="nil"/>
              <w:right w:val="nil"/>
            </w:tcBorders>
            <w:shd w:val="clear" w:color="auto" w:fill="auto"/>
            <w:noWrap/>
            <w:vAlign w:val="bottom"/>
            <w:hideMark/>
          </w:tcPr>
          <w:p w14:paraId="3713C626"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16" w:type="dxa"/>
            <w:tcBorders>
              <w:top w:val="nil"/>
              <w:left w:val="nil"/>
              <w:bottom w:val="nil"/>
              <w:right w:val="nil"/>
            </w:tcBorders>
            <w:shd w:val="clear" w:color="auto" w:fill="auto"/>
            <w:noWrap/>
            <w:vAlign w:val="bottom"/>
            <w:hideMark/>
          </w:tcPr>
          <w:p w14:paraId="0CA57B98" w14:textId="77777777" w:rsidR="003772FB" w:rsidRPr="003772FB" w:rsidRDefault="003772FB" w:rsidP="003772FB">
            <w:pPr>
              <w:spacing w:after="0" w:line="240" w:lineRule="auto"/>
              <w:jc w:val="right"/>
              <w:rPr>
                <w:rFonts w:eastAsia="Times New Roman"/>
                <w:color w:val="000000"/>
                <w:sz w:val="20"/>
                <w:szCs w:val="20"/>
              </w:rPr>
            </w:pPr>
            <w:r w:rsidRPr="003772FB">
              <w:rPr>
                <w:rFonts w:eastAsia="Times New Roman"/>
                <w:color w:val="000000"/>
                <w:sz w:val="20"/>
                <w:szCs w:val="20"/>
              </w:rPr>
              <w:t>99</w:t>
            </w:r>
          </w:p>
        </w:tc>
        <w:tc>
          <w:tcPr>
            <w:tcW w:w="1476" w:type="dxa"/>
            <w:tcBorders>
              <w:top w:val="nil"/>
              <w:left w:val="nil"/>
              <w:bottom w:val="nil"/>
              <w:right w:val="nil"/>
            </w:tcBorders>
            <w:shd w:val="clear" w:color="auto" w:fill="auto"/>
            <w:noWrap/>
            <w:vAlign w:val="bottom"/>
            <w:hideMark/>
          </w:tcPr>
          <w:p w14:paraId="43833D40" w14:textId="77777777" w:rsidR="003772FB" w:rsidRPr="00806D37" w:rsidRDefault="003772FB" w:rsidP="003772FB">
            <w:pPr>
              <w:spacing w:after="0" w:line="240" w:lineRule="auto"/>
              <w:jc w:val="center"/>
              <w:rPr>
                <w:rFonts w:eastAsia="Times New Roman"/>
                <w:b/>
                <w:color w:val="000000"/>
                <w:sz w:val="20"/>
                <w:szCs w:val="20"/>
              </w:rPr>
            </w:pPr>
            <w:r w:rsidRPr="00806D37">
              <w:rPr>
                <w:rFonts w:eastAsia="Times New Roman"/>
                <w:b/>
                <w:color w:val="000000"/>
                <w:sz w:val="20"/>
                <w:szCs w:val="20"/>
              </w:rPr>
              <w:t>91%</w:t>
            </w:r>
          </w:p>
        </w:tc>
        <w:tc>
          <w:tcPr>
            <w:tcW w:w="822" w:type="dxa"/>
            <w:tcBorders>
              <w:top w:val="nil"/>
              <w:left w:val="nil"/>
              <w:bottom w:val="nil"/>
              <w:right w:val="nil"/>
            </w:tcBorders>
            <w:shd w:val="clear" w:color="auto" w:fill="auto"/>
            <w:noWrap/>
            <w:vAlign w:val="bottom"/>
            <w:hideMark/>
          </w:tcPr>
          <w:p w14:paraId="1CD1A196" w14:textId="77777777" w:rsidR="003772FB" w:rsidRPr="003772FB" w:rsidRDefault="003772FB" w:rsidP="00CD62B1">
            <w:pPr>
              <w:spacing w:after="0" w:line="240" w:lineRule="auto"/>
              <w:jc w:val="center"/>
              <w:rPr>
                <w:rFonts w:eastAsia="Times New Roman"/>
                <w:color w:val="000000"/>
                <w:sz w:val="20"/>
                <w:szCs w:val="20"/>
              </w:rPr>
            </w:pPr>
          </w:p>
        </w:tc>
        <w:tc>
          <w:tcPr>
            <w:tcW w:w="712" w:type="dxa"/>
            <w:tcBorders>
              <w:top w:val="nil"/>
              <w:left w:val="nil"/>
              <w:bottom w:val="nil"/>
              <w:right w:val="nil"/>
            </w:tcBorders>
            <w:shd w:val="clear" w:color="auto" w:fill="auto"/>
            <w:noWrap/>
            <w:vAlign w:val="bottom"/>
            <w:hideMark/>
          </w:tcPr>
          <w:p w14:paraId="3130A919" w14:textId="77777777" w:rsidR="003772FB" w:rsidRPr="003772FB" w:rsidRDefault="00CD62B1" w:rsidP="003772FB">
            <w:pPr>
              <w:spacing w:after="0" w:line="240" w:lineRule="auto"/>
              <w:jc w:val="right"/>
              <w:rPr>
                <w:rFonts w:eastAsia="Times New Roman"/>
                <w:color w:val="000000"/>
                <w:sz w:val="20"/>
                <w:szCs w:val="20"/>
              </w:rPr>
            </w:pPr>
            <w:r>
              <w:rPr>
                <w:rFonts w:eastAsia="Times New Roman"/>
                <w:color w:val="000000"/>
                <w:sz w:val="20"/>
                <w:szCs w:val="20"/>
              </w:rPr>
              <w:t>24</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32D3E100" w14:textId="77777777" w:rsidR="003772FB" w:rsidRPr="003772FB" w:rsidRDefault="00986F4E" w:rsidP="003772FB">
            <w:pPr>
              <w:spacing w:after="0" w:line="240" w:lineRule="auto"/>
              <w:jc w:val="center"/>
              <w:rPr>
                <w:rFonts w:eastAsia="Times New Roman"/>
                <w:color w:val="000000"/>
                <w:sz w:val="20"/>
                <w:szCs w:val="20"/>
              </w:rPr>
            </w:pPr>
            <w:r>
              <w:rPr>
                <w:rFonts w:eastAsia="Times New Roman"/>
                <w:color w:val="000000"/>
                <w:sz w:val="20"/>
                <w:szCs w:val="20"/>
              </w:rPr>
              <w:t>21</w:t>
            </w:r>
            <w:r w:rsidR="003772FB" w:rsidRPr="003772FB">
              <w:rPr>
                <w:rFonts w:eastAsia="Times New Roman"/>
                <w:color w:val="000000"/>
                <w:sz w:val="20"/>
                <w:szCs w:val="20"/>
              </w:rPr>
              <w:t>%</w:t>
            </w:r>
          </w:p>
        </w:tc>
        <w:tc>
          <w:tcPr>
            <w:tcW w:w="3003" w:type="dxa"/>
            <w:tcBorders>
              <w:top w:val="nil"/>
              <w:left w:val="nil"/>
              <w:bottom w:val="nil"/>
              <w:right w:val="nil"/>
            </w:tcBorders>
            <w:shd w:val="clear" w:color="auto" w:fill="auto"/>
            <w:noWrap/>
            <w:vAlign w:val="bottom"/>
            <w:hideMark/>
          </w:tcPr>
          <w:p w14:paraId="056B8A54" w14:textId="77777777" w:rsidR="003772FB" w:rsidRPr="003772FB" w:rsidRDefault="003772FB" w:rsidP="003772FB">
            <w:pPr>
              <w:spacing w:after="0" w:line="240" w:lineRule="auto"/>
              <w:rPr>
                <w:rFonts w:eastAsia="Times New Roman"/>
                <w:b/>
                <w:bCs/>
                <w:color w:val="000000"/>
                <w:sz w:val="20"/>
                <w:szCs w:val="20"/>
              </w:rPr>
            </w:pPr>
            <w:r w:rsidRPr="003772FB">
              <w:rPr>
                <w:rFonts w:eastAsia="Times New Roman"/>
                <w:b/>
                <w:bCs/>
                <w:color w:val="000000"/>
                <w:sz w:val="20"/>
                <w:szCs w:val="20"/>
              </w:rPr>
              <w:t>Learning Environment</w:t>
            </w:r>
          </w:p>
        </w:tc>
      </w:tr>
      <w:tr w:rsidR="003772FB" w:rsidRPr="003772FB" w14:paraId="4648DAD3" w14:textId="77777777" w:rsidTr="003772FB">
        <w:trPr>
          <w:trHeight w:val="300"/>
        </w:trPr>
        <w:tc>
          <w:tcPr>
            <w:tcW w:w="1385" w:type="dxa"/>
            <w:tcBorders>
              <w:top w:val="nil"/>
              <w:left w:val="nil"/>
              <w:bottom w:val="nil"/>
              <w:right w:val="nil"/>
            </w:tcBorders>
            <w:shd w:val="clear" w:color="auto" w:fill="auto"/>
            <w:noWrap/>
            <w:vAlign w:val="bottom"/>
            <w:hideMark/>
          </w:tcPr>
          <w:p w14:paraId="5324A2F1" w14:textId="77777777" w:rsidR="003772FB" w:rsidRPr="003772FB" w:rsidRDefault="003772FB" w:rsidP="003772FB">
            <w:pPr>
              <w:spacing w:after="0" w:line="240" w:lineRule="auto"/>
              <w:jc w:val="right"/>
              <w:rPr>
                <w:rFonts w:eastAsia="Times New Roman"/>
                <w:b/>
                <w:bCs/>
                <w:color w:val="000000"/>
                <w:sz w:val="20"/>
                <w:szCs w:val="20"/>
              </w:rPr>
            </w:pPr>
            <w:r w:rsidRPr="003772FB">
              <w:rPr>
                <w:rFonts w:eastAsia="Times New Roman"/>
                <w:b/>
                <w:bCs/>
                <w:color w:val="000000"/>
                <w:sz w:val="20"/>
                <w:szCs w:val="20"/>
              </w:rPr>
              <w:t>InTASC 4</w:t>
            </w:r>
          </w:p>
        </w:tc>
        <w:tc>
          <w:tcPr>
            <w:tcW w:w="403" w:type="dxa"/>
            <w:tcBorders>
              <w:top w:val="nil"/>
              <w:left w:val="nil"/>
              <w:bottom w:val="nil"/>
              <w:right w:val="nil"/>
            </w:tcBorders>
            <w:shd w:val="clear" w:color="auto" w:fill="auto"/>
            <w:noWrap/>
            <w:vAlign w:val="bottom"/>
            <w:hideMark/>
          </w:tcPr>
          <w:p w14:paraId="3F8BD3F0"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1</w:t>
            </w:r>
          </w:p>
        </w:tc>
        <w:tc>
          <w:tcPr>
            <w:tcW w:w="663" w:type="dxa"/>
            <w:tcBorders>
              <w:top w:val="nil"/>
              <w:left w:val="nil"/>
              <w:bottom w:val="nil"/>
              <w:right w:val="nil"/>
            </w:tcBorders>
            <w:shd w:val="clear" w:color="auto" w:fill="auto"/>
            <w:noWrap/>
            <w:vAlign w:val="bottom"/>
            <w:hideMark/>
          </w:tcPr>
          <w:p w14:paraId="724E769A"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63" w:type="dxa"/>
            <w:tcBorders>
              <w:top w:val="nil"/>
              <w:left w:val="nil"/>
              <w:bottom w:val="nil"/>
              <w:right w:val="nil"/>
            </w:tcBorders>
            <w:shd w:val="clear" w:color="auto" w:fill="auto"/>
            <w:noWrap/>
            <w:vAlign w:val="bottom"/>
            <w:hideMark/>
          </w:tcPr>
          <w:p w14:paraId="4728D8AC"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16" w:type="dxa"/>
            <w:tcBorders>
              <w:top w:val="nil"/>
              <w:left w:val="nil"/>
              <w:bottom w:val="nil"/>
              <w:right w:val="nil"/>
            </w:tcBorders>
            <w:shd w:val="clear" w:color="auto" w:fill="auto"/>
            <w:noWrap/>
            <w:vAlign w:val="bottom"/>
            <w:hideMark/>
          </w:tcPr>
          <w:p w14:paraId="050D1987" w14:textId="77777777" w:rsidR="003772FB" w:rsidRPr="003772FB" w:rsidRDefault="003772FB" w:rsidP="003772FB">
            <w:pPr>
              <w:spacing w:after="0" w:line="240" w:lineRule="auto"/>
              <w:jc w:val="right"/>
              <w:rPr>
                <w:rFonts w:eastAsia="Times New Roman"/>
                <w:color w:val="000000"/>
                <w:sz w:val="20"/>
                <w:szCs w:val="20"/>
              </w:rPr>
            </w:pPr>
            <w:r w:rsidRPr="003772FB">
              <w:rPr>
                <w:rFonts w:eastAsia="Times New Roman"/>
                <w:color w:val="000000"/>
                <w:sz w:val="20"/>
                <w:szCs w:val="20"/>
              </w:rPr>
              <w:t>134</w:t>
            </w:r>
          </w:p>
        </w:tc>
        <w:tc>
          <w:tcPr>
            <w:tcW w:w="1476" w:type="dxa"/>
            <w:tcBorders>
              <w:top w:val="nil"/>
              <w:left w:val="nil"/>
              <w:bottom w:val="nil"/>
              <w:right w:val="nil"/>
            </w:tcBorders>
            <w:shd w:val="clear" w:color="auto" w:fill="auto"/>
            <w:noWrap/>
            <w:vAlign w:val="bottom"/>
            <w:hideMark/>
          </w:tcPr>
          <w:p w14:paraId="6298F7C1" w14:textId="77777777" w:rsidR="003772FB" w:rsidRPr="00806D37" w:rsidRDefault="003772FB" w:rsidP="003772FB">
            <w:pPr>
              <w:spacing w:after="0" w:line="240" w:lineRule="auto"/>
              <w:jc w:val="center"/>
              <w:rPr>
                <w:rFonts w:eastAsia="Times New Roman"/>
                <w:b/>
                <w:color w:val="000000"/>
                <w:sz w:val="20"/>
                <w:szCs w:val="20"/>
              </w:rPr>
            </w:pPr>
            <w:r w:rsidRPr="00806D37">
              <w:rPr>
                <w:rFonts w:eastAsia="Times New Roman"/>
                <w:b/>
                <w:color w:val="000000"/>
                <w:sz w:val="20"/>
                <w:szCs w:val="20"/>
              </w:rPr>
              <w:t>92%</w:t>
            </w:r>
          </w:p>
        </w:tc>
        <w:tc>
          <w:tcPr>
            <w:tcW w:w="822" w:type="dxa"/>
            <w:tcBorders>
              <w:top w:val="nil"/>
              <w:left w:val="nil"/>
              <w:bottom w:val="nil"/>
              <w:right w:val="nil"/>
            </w:tcBorders>
            <w:shd w:val="clear" w:color="auto" w:fill="auto"/>
            <w:noWrap/>
            <w:vAlign w:val="bottom"/>
            <w:hideMark/>
          </w:tcPr>
          <w:p w14:paraId="21658B4B" w14:textId="77777777" w:rsidR="00CD62B1" w:rsidRPr="003772FB" w:rsidRDefault="00CD62B1" w:rsidP="00CD62B1">
            <w:pPr>
              <w:spacing w:after="0" w:line="240" w:lineRule="auto"/>
              <w:jc w:val="center"/>
              <w:rPr>
                <w:rFonts w:eastAsia="Times New Roman"/>
                <w:color w:val="000000"/>
                <w:sz w:val="20"/>
                <w:szCs w:val="20"/>
              </w:rPr>
            </w:pPr>
            <w:r>
              <w:rPr>
                <w:rFonts w:eastAsia="Times New Roman"/>
                <w:color w:val="000000"/>
                <w:sz w:val="20"/>
                <w:szCs w:val="20"/>
              </w:rPr>
              <w:t>7%</w:t>
            </w:r>
          </w:p>
        </w:tc>
        <w:tc>
          <w:tcPr>
            <w:tcW w:w="712" w:type="dxa"/>
            <w:tcBorders>
              <w:top w:val="nil"/>
              <w:left w:val="nil"/>
              <w:bottom w:val="nil"/>
              <w:right w:val="nil"/>
            </w:tcBorders>
            <w:shd w:val="clear" w:color="auto" w:fill="auto"/>
            <w:noWrap/>
            <w:vAlign w:val="bottom"/>
            <w:hideMark/>
          </w:tcPr>
          <w:p w14:paraId="4F9D9077" w14:textId="77777777" w:rsidR="003772FB" w:rsidRPr="003772FB" w:rsidRDefault="00CD62B1" w:rsidP="003772FB">
            <w:pPr>
              <w:spacing w:after="0" w:line="240" w:lineRule="auto"/>
              <w:jc w:val="right"/>
              <w:rPr>
                <w:rFonts w:eastAsia="Times New Roman"/>
                <w:color w:val="000000"/>
                <w:sz w:val="20"/>
                <w:szCs w:val="20"/>
              </w:rPr>
            </w:pPr>
            <w:r>
              <w:rPr>
                <w:rFonts w:eastAsia="Times New Roman"/>
                <w:color w:val="000000"/>
                <w:sz w:val="20"/>
                <w:szCs w:val="20"/>
              </w:rPr>
              <w:t>19</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6ABC055C" w14:textId="77777777" w:rsidR="003772FB" w:rsidRPr="003772FB" w:rsidRDefault="00986F4E" w:rsidP="003772FB">
            <w:pPr>
              <w:spacing w:after="0" w:line="240" w:lineRule="auto"/>
              <w:jc w:val="center"/>
              <w:rPr>
                <w:rFonts w:eastAsia="Times New Roman"/>
                <w:color w:val="000000"/>
                <w:sz w:val="20"/>
                <w:szCs w:val="20"/>
              </w:rPr>
            </w:pPr>
            <w:r>
              <w:rPr>
                <w:rFonts w:eastAsia="Times New Roman"/>
                <w:color w:val="000000"/>
                <w:sz w:val="20"/>
                <w:szCs w:val="20"/>
              </w:rPr>
              <w:t>19</w:t>
            </w:r>
            <w:r w:rsidR="003772FB" w:rsidRPr="003772FB">
              <w:rPr>
                <w:rFonts w:eastAsia="Times New Roman"/>
                <w:color w:val="000000"/>
                <w:sz w:val="20"/>
                <w:szCs w:val="20"/>
              </w:rPr>
              <w:t>%</w:t>
            </w:r>
          </w:p>
        </w:tc>
        <w:tc>
          <w:tcPr>
            <w:tcW w:w="3003" w:type="dxa"/>
            <w:tcBorders>
              <w:top w:val="nil"/>
              <w:left w:val="nil"/>
              <w:bottom w:val="nil"/>
              <w:right w:val="nil"/>
            </w:tcBorders>
            <w:shd w:val="clear" w:color="auto" w:fill="auto"/>
            <w:noWrap/>
            <w:vAlign w:val="bottom"/>
            <w:hideMark/>
          </w:tcPr>
          <w:p w14:paraId="4A269C59" w14:textId="77777777" w:rsidR="003772FB" w:rsidRPr="003772FB" w:rsidRDefault="003772FB" w:rsidP="003772FB">
            <w:pPr>
              <w:spacing w:after="0" w:line="240" w:lineRule="auto"/>
              <w:rPr>
                <w:rFonts w:eastAsia="Times New Roman"/>
                <w:b/>
                <w:bCs/>
                <w:color w:val="000000"/>
                <w:sz w:val="20"/>
                <w:szCs w:val="20"/>
              </w:rPr>
            </w:pPr>
            <w:r w:rsidRPr="003772FB">
              <w:rPr>
                <w:rFonts w:eastAsia="Times New Roman"/>
                <w:b/>
                <w:bCs/>
                <w:color w:val="000000"/>
                <w:sz w:val="20"/>
                <w:szCs w:val="20"/>
              </w:rPr>
              <w:t>Content Knowledge</w:t>
            </w:r>
          </w:p>
        </w:tc>
      </w:tr>
      <w:tr w:rsidR="003772FB" w:rsidRPr="003772FB" w14:paraId="2821581C" w14:textId="77777777" w:rsidTr="003772FB">
        <w:trPr>
          <w:trHeight w:val="300"/>
        </w:trPr>
        <w:tc>
          <w:tcPr>
            <w:tcW w:w="1385" w:type="dxa"/>
            <w:tcBorders>
              <w:top w:val="nil"/>
              <w:left w:val="nil"/>
              <w:bottom w:val="nil"/>
              <w:right w:val="nil"/>
            </w:tcBorders>
            <w:shd w:val="clear" w:color="auto" w:fill="auto"/>
            <w:noWrap/>
            <w:vAlign w:val="bottom"/>
            <w:hideMark/>
          </w:tcPr>
          <w:p w14:paraId="73FF97FB" w14:textId="77777777" w:rsidR="003772FB" w:rsidRPr="003772FB" w:rsidRDefault="003772FB" w:rsidP="003772FB">
            <w:pPr>
              <w:spacing w:after="0" w:line="240" w:lineRule="auto"/>
              <w:jc w:val="right"/>
              <w:rPr>
                <w:rFonts w:eastAsia="Times New Roman"/>
                <w:b/>
                <w:bCs/>
                <w:color w:val="000000"/>
                <w:sz w:val="20"/>
                <w:szCs w:val="20"/>
              </w:rPr>
            </w:pPr>
            <w:r w:rsidRPr="003772FB">
              <w:rPr>
                <w:rFonts w:eastAsia="Times New Roman"/>
                <w:b/>
                <w:bCs/>
                <w:color w:val="000000"/>
                <w:sz w:val="20"/>
                <w:szCs w:val="20"/>
              </w:rPr>
              <w:t>InTASC 5</w:t>
            </w:r>
          </w:p>
        </w:tc>
        <w:tc>
          <w:tcPr>
            <w:tcW w:w="403" w:type="dxa"/>
            <w:tcBorders>
              <w:top w:val="nil"/>
              <w:left w:val="nil"/>
              <w:bottom w:val="nil"/>
              <w:right w:val="nil"/>
            </w:tcBorders>
            <w:shd w:val="clear" w:color="auto" w:fill="auto"/>
            <w:noWrap/>
            <w:vAlign w:val="bottom"/>
            <w:hideMark/>
          </w:tcPr>
          <w:p w14:paraId="2F767564" w14:textId="77777777" w:rsidR="003772FB" w:rsidRPr="003772FB" w:rsidRDefault="003772FB" w:rsidP="003772FB">
            <w:pPr>
              <w:spacing w:after="0" w:line="240" w:lineRule="auto"/>
              <w:jc w:val="center"/>
              <w:rPr>
                <w:rFonts w:eastAsia="Times New Roman"/>
                <w:color w:val="000000"/>
                <w:sz w:val="20"/>
                <w:szCs w:val="20"/>
              </w:rPr>
            </w:pPr>
          </w:p>
        </w:tc>
        <w:tc>
          <w:tcPr>
            <w:tcW w:w="663" w:type="dxa"/>
            <w:tcBorders>
              <w:top w:val="nil"/>
              <w:left w:val="nil"/>
              <w:bottom w:val="nil"/>
              <w:right w:val="nil"/>
            </w:tcBorders>
            <w:shd w:val="clear" w:color="auto" w:fill="auto"/>
            <w:noWrap/>
            <w:vAlign w:val="bottom"/>
            <w:hideMark/>
          </w:tcPr>
          <w:p w14:paraId="6E8244E2"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63" w:type="dxa"/>
            <w:tcBorders>
              <w:top w:val="nil"/>
              <w:left w:val="nil"/>
              <w:bottom w:val="nil"/>
              <w:right w:val="nil"/>
            </w:tcBorders>
            <w:shd w:val="clear" w:color="auto" w:fill="auto"/>
            <w:noWrap/>
            <w:vAlign w:val="bottom"/>
            <w:hideMark/>
          </w:tcPr>
          <w:p w14:paraId="16997DDA"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16" w:type="dxa"/>
            <w:tcBorders>
              <w:top w:val="nil"/>
              <w:left w:val="nil"/>
              <w:bottom w:val="nil"/>
              <w:right w:val="nil"/>
            </w:tcBorders>
            <w:shd w:val="clear" w:color="auto" w:fill="auto"/>
            <w:noWrap/>
            <w:vAlign w:val="bottom"/>
            <w:hideMark/>
          </w:tcPr>
          <w:p w14:paraId="197DCF77" w14:textId="77777777" w:rsidR="003772FB" w:rsidRPr="003772FB" w:rsidRDefault="003772FB" w:rsidP="003772FB">
            <w:pPr>
              <w:spacing w:after="0" w:line="240" w:lineRule="auto"/>
              <w:jc w:val="right"/>
              <w:rPr>
                <w:rFonts w:eastAsia="Times New Roman"/>
                <w:color w:val="000000"/>
                <w:sz w:val="20"/>
                <w:szCs w:val="20"/>
              </w:rPr>
            </w:pPr>
            <w:r w:rsidRPr="003772FB">
              <w:rPr>
                <w:rFonts w:eastAsia="Times New Roman"/>
                <w:color w:val="000000"/>
                <w:sz w:val="20"/>
                <w:szCs w:val="20"/>
              </w:rPr>
              <w:t>92</w:t>
            </w:r>
          </w:p>
        </w:tc>
        <w:tc>
          <w:tcPr>
            <w:tcW w:w="1476" w:type="dxa"/>
            <w:tcBorders>
              <w:top w:val="nil"/>
              <w:left w:val="nil"/>
              <w:bottom w:val="nil"/>
              <w:right w:val="nil"/>
            </w:tcBorders>
            <w:shd w:val="clear" w:color="auto" w:fill="auto"/>
            <w:noWrap/>
            <w:vAlign w:val="bottom"/>
            <w:hideMark/>
          </w:tcPr>
          <w:p w14:paraId="0A8CD5B6" w14:textId="77777777" w:rsidR="003772FB" w:rsidRPr="00806D37" w:rsidRDefault="003772FB" w:rsidP="003772FB">
            <w:pPr>
              <w:spacing w:after="0" w:line="240" w:lineRule="auto"/>
              <w:jc w:val="center"/>
              <w:rPr>
                <w:rFonts w:eastAsia="Times New Roman"/>
                <w:b/>
                <w:color w:val="000000"/>
                <w:sz w:val="20"/>
                <w:szCs w:val="20"/>
              </w:rPr>
            </w:pPr>
            <w:r w:rsidRPr="00806D37">
              <w:rPr>
                <w:rFonts w:eastAsia="Times New Roman"/>
                <w:b/>
                <w:color w:val="000000"/>
                <w:sz w:val="20"/>
                <w:szCs w:val="20"/>
              </w:rPr>
              <w:t>87%</w:t>
            </w:r>
          </w:p>
        </w:tc>
        <w:tc>
          <w:tcPr>
            <w:tcW w:w="822" w:type="dxa"/>
            <w:tcBorders>
              <w:top w:val="nil"/>
              <w:left w:val="nil"/>
              <w:bottom w:val="nil"/>
              <w:right w:val="nil"/>
            </w:tcBorders>
            <w:shd w:val="clear" w:color="auto" w:fill="auto"/>
            <w:noWrap/>
            <w:vAlign w:val="bottom"/>
            <w:hideMark/>
          </w:tcPr>
          <w:p w14:paraId="57EF538C" w14:textId="77777777" w:rsidR="003772FB" w:rsidRPr="003772FB" w:rsidRDefault="003772FB" w:rsidP="00CD62B1">
            <w:pPr>
              <w:spacing w:after="0" w:line="240" w:lineRule="auto"/>
              <w:jc w:val="center"/>
              <w:rPr>
                <w:rFonts w:eastAsia="Times New Roman"/>
                <w:color w:val="000000"/>
                <w:sz w:val="20"/>
                <w:szCs w:val="20"/>
              </w:rPr>
            </w:pPr>
          </w:p>
        </w:tc>
        <w:tc>
          <w:tcPr>
            <w:tcW w:w="712" w:type="dxa"/>
            <w:tcBorders>
              <w:top w:val="nil"/>
              <w:left w:val="nil"/>
              <w:bottom w:val="nil"/>
              <w:right w:val="nil"/>
            </w:tcBorders>
            <w:shd w:val="clear" w:color="auto" w:fill="auto"/>
            <w:noWrap/>
            <w:vAlign w:val="bottom"/>
            <w:hideMark/>
          </w:tcPr>
          <w:p w14:paraId="1365170D" w14:textId="77777777" w:rsidR="003772FB" w:rsidRPr="003772FB" w:rsidRDefault="00CD62B1" w:rsidP="003772FB">
            <w:pPr>
              <w:spacing w:after="0" w:line="240" w:lineRule="auto"/>
              <w:jc w:val="right"/>
              <w:rPr>
                <w:rFonts w:eastAsia="Times New Roman"/>
                <w:color w:val="000000"/>
                <w:sz w:val="20"/>
                <w:szCs w:val="20"/>
              </w:rPr>
            </w:pPr>
            <w:r>
              <w:rPr>
                <w:rFonts w:eastAsia="Times New Roman"/>
                <w:color w:val="000000"/>
                <w:sz w:val="20"/>
                <w:szCs w:val="20"/>
              </w:rPr>
              <w:t>13</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2832047F" w14:textId="77777777" w:rsidR="003772FB" w:rsidRPr="003772FB" w:rsidRDefault="00986F4E" w:rsidP="003772FB">
            <w:pPr>
              <w:spacing w:after="0" w:line="240" w:lineRule="auto"/>
              <w:jc w:val="center"/>
              <w:rPr>
                <w:rFonts w:eastAsia="Times New Roman"/>
                <w:color w:val="000000"/>
                <w:sz w:val="20"/>
                <w:szCs w:val="20"/>
              </w:rPr>
            </w:pPr>
            <w:r>
              <w:rPr>
                <w:rFonts w:eastAsia="Times New Roman"/>
                <w:color w:val="000000"/>
                <w:sz w:val="20"/>
                <w:szCs w:val="20"/>
              </w:rPr>
              <w:t>23</w:t>
            </w:r>
            <w:r w:rsidR="003772FB" w:rsidRPr="003772FB">
              <w:rPr>
                <w:rFonts w:eastAsia="Times New Roman"/>
                <w:color w:val="000000"/>
                <w:sz w:val="20"/>
                <w:szCs w:val="20"/>
              </w:rPr>
              <w:t>%</w:t>
            </w:r>
          </w:p>
        </w:tc>
        <w:tc>
          <w:tcPr>
            <w:tcW w:w="3003" w:type="dxa"/>
            <w:tcBorders>
              <w:top w:val="nil"/>
              <w:left w:val="nil"/>
              <w:bottom w:val="nil"/>
              <w:right w:val="nil"/>
            </w:tcBorders>
            <w:shd w:val="clear" w:color="auto" w:fill="auto"/>
            <w:noWrap/>
            <w:vAlign w:val="bottom"/>
            <w:hideMark/>
          </w:tcPr>
          <w:p w14:paraId="21E34D83" w14:textId="77777777" w:rsidR="003772FB" w:rsidRPr="003772FB" w:rsidRDefault="003772FB" w:rsidP="003772FB">
            <w:pPr>
              <w:spacing w:after="0" w:line="240" w:lineRule="auto"/>
              <w:rPr>
                <w:rFonts w:eastAsia="Times New Roman"/>
                <w:b/>
                <w:bCs/>
                <w:color w:val="000000"/>
                <w:sz w:val="20"/>
                <w:szCs w:val="20"/>
              </w:rPr>
            </w:pPr>
            <w:r w:rsidRPr="003772FB">
              <w:rPr>
                <w:rFonts w:eastAsia="Times New Roman"/>
                <w:b/>
                <w:bCs/>
                <w:color w:val="000000"/>
                <w:sz w:val="20"/>
                <w:szCs w:val="20"/>
              </w:rPr>
              <w:t>Application of Content</w:t>
            </w:r>
          </w:p>
        </w:tc>
      </w:tr>
      <w:tr w:rsidR="003772FB" w:rsidRPr="003772FB" w14:paraId="2CA67B8C" w14:textId="77777777" w:rsidTr="003772FB">
        <w:trPr>
          <w:trHeight w:val="300"/>
        </w:trPr>
        <w:tc>
          <w:tcPr>
            <w:tcW w:w="1385" w:type="dxa"/>
            <w:tcBorders>
              <w:top w:val="nil"/>
              <w:left w:val="nil"/>
              <w:bottom w:val="nil"/>
              <w:right w:val="nil"/>
            </w:tcBorders>
            <w:shd w:val="clear" w:color="auto" w:fill="auto"/>
            <w:noWrap/>
            <w:vAlign w:val="bottom"/>
            <w:hideMark/>
          </w:tcPr>
          <w:p w14:paraId="223DE285" w14:textId="77777777" w:rsidR="003772FB" w:rsidRPr="003772FB" w:rsidRDefault="003772FB" w:rsidP="003772FB">
            <w:pPr>
              <w:spacing w:after="0" w:line="240" w:lineRule="auto"/>
              <w:jc w:val="right"/>
              <w:rPr>
                <w:rFonts w:eastAsia="Times New Roman"/>
                <w:b/>
                <w:bCs/>
                <w:color w:val="000000"/>
                <w:sz w:val="20"/>
                <w:szCs w:val="20"/>
              </w:rPr>
            </w:pPr>
            <w:r w:rsidRPr="003772FB">
              <w:rPr>
                <w:rFonts w:eastAsia="Times New Roman"/>
                <w:b/>
                <w:bCs/>
                <w:color w:val="000000"/>
                <w:sz w:val="20"/>
                <w:szCs w:val="20"/>
              </w:rPr>
              <w:t>InTASC 6</w:t>
            </w:r>
          </w:p>
        </w:tc>
        <w:tc>
          <w:tcPr>
            <w:tcW w:w="403" w:type="dxa"/>
            <w:tcBorders>
              <w:top w:val="nil"/>
              <w:left w:val="nil"/>
              <w:bottom w:val="nil"/>
              <w:right w:val="nil"/>
            </w:tcBorders>
            <w:shd w:val="clear" w:color="auto" w:fill="auto"/>
            <w:noWrap/>
            <w:vAlign w:val="bottom"/>
            <w:hideMark/>
          </w:tcPr>
          <w:p w14:paraId="3B27D292" w14:textId="77777777" w:rsidR="003772FB" w:rsidRPr="003772FB" w:rsidRDefault="003772FB" w:rsidP="003772FB">
            <w:pPr>
              <w:spacing w:after="0" w:line="240" w:lineRule="auto"/>
              <w:jc w:val="center"/>
              <w:rPr>
                <w:rFonts w:eastAsia="Times New Roman"/>
                <w:color w:val="000000"/>
                <w:sz w:val="20"/>
                <w:szCs w:val="20"/>
              </w:rPr>
            </w:pPr>
          </w:p>
        </w:tc>
        <w:tc>
          <w:tcPr>
            <w:tcW w:w="663" w:type="dxa"/>
            <w:tcBorders>
              <w:top w:val="nil"/>
              <w:left w:val="nil"/>
              <w:bottom w:val="nil"/>
              <w:right w:val="nil"/>
            </w:tcBorders>
            <w:shd w:val="clear" w:color="auto" w:fill="auto"/>
            <w:noWrap/>
            <w:vAlign w:val="bottom"/>
            <w:hideMark/>
          </w:tcPr>
          <w:p w14:paraId="01C6051B"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63" w:type="dxa"/>
            <w:tcBorders>
              <w:top w:val="nil"/>
              <w:left w:val="nil"/>
              <w:bottom w:val="nil"/>
              <w:right w:val="nil"/>
            </w:tcBorders>
            <w:shd w:val="clear" w:color="auto" w:fill="auto"/>
            <w:noWrap/>
            <w:vAlign w:val="bottom"/>
            <w:hideMark/>
          </w:tcPr>
          <w:p w14:paraId="24BE9D06"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16" w:type="dxa"/>
            <w:tcBorders>
              <w:top w:val="nil"/>
              <w:left w:val="nil"/>
              <w:bottom w:val="nil"/>
              <w:right w:val="nil"/>
            </w:tcBorders>
            <w:shd w:val="clear" w:color="auto" w:fill="auto"/>
            <w:noWrap/>
            <w:vAlign w:val="bottom"/>
            <w:hideMark/>
          </w:tcPr>
          <w:p w14:paraId="3F9ABC35" w14:textId="77777777" w:rsidR="003772FB" w:rsidRPr="003772FB" w:rsidRDefault="003772FB" w:rsidP="003772FB">
            <w:pPr>
              <w:spacing w:after="0" w:line="240" w:lineRule="auto"/>
              <w:jc w:val="right"/>
              <w:rPr>
                <w:rFonts w:eastAsia="Times New Roman"/>
                <w:color w:val="000000"/>
                <w:sz w:val="20"/>
                <w:szCs w:val="20"/>
              </w:rPr>
            </w:pPr>
            <w:r w:rsidRPr="003772FB">
              <w:rPr>
                <w:rFonts w:eastAsia="Times New Roman"/>
                <w:color w:val="000000"/>
                <w:sz w:val="20"/>
                <w:szCs w:val="20"/>
              </w:rPr>
              <w:t>90</w:t>
            </w:r>
          </w:p>
        </w:tc>
        <w:tc>
          <w:tcPr>
            <w:tcW w:w="1476" w:type="dxa"/>
            <w:tcBorders>
              <w:top w:val="nil"/>
              <w:left w:val="nil"/>
              <w:bottom w:val="nil"/>
              <w:right w:val="nil"/>
            </w:tcBorders>
            <w:shd w:val="clear" w:color="auto" w:fill="auto"/>
            <w:noWrap/>
            <w:vAlign w:val="bottom"/>
            <w:hideMark/>
          </w:tcPr>
          <w:p w14:paraId="2E33239B" w14:textId="77777777" w:rsidR="003772FB" w:rsidRPr="00806D37" w:rsidRDefault="003772FB" w:rsidP="003772FB">
            <w:pPr>
              <w:spacing w:after="0" w:line="240" w:lineRule="auto"/>
              <w:jc w:val="center"/>
              <w:rPr>
                <w:rFonts w:eastAsia="Times New Roman"/>
                <w:b/>
                <w:color w:val="000000"/>
                <w:sz w:val="20"/>
                <w:szCs w:val="20"/>
              </w:rPr>
            </w:pPr>
            <w:r w:rsidRPr="00806D37">
              <w:rPr>
                <w:rFonts w:eastAsia="Times New Roman"/>
                <w:b/>
                <w:color w:val="000000"/>
                <w:sz w:val="20"/>
                <w:szCs w:val="20"/>
              </w:rPr>
              <w:t>91%</w:t>
            </w:r>
          </w:p>
        </w:tc>
        <w:tc>
          <w:tcPr>
            <w:tcW w:w="822" w:type="dxa"/>
            <w:tcBorders>
              <w:top w:val="nil"/>
              <w:left w:val="nil"/>
              <w:bottom w:val="nil"/>
              <w:right w:val="nil"/>
            </w:tcBorders>
            <w:shd w:val="clear" w:color="auto" w:fill="auto"/>
            <w:noWrap/>
            <w:vAlign w:val="bottom"/>
            <w:hideMark/>
          </w:tcPr>
          <w:p w14:paraId="7AE9CFCA" w14:textId="77777777" w:rsidR="003772FB" w:rsidRPr="003772FB" w:rsidRDefault="003772FB" w:rsidP="00CD62B1">
            <w:pPr>
              <w:spacing w:after="0" w:line="240" w:lineRule="auto"/>
              <w:jc w:val="center"/>
              <w:rPr>
                <w:rFonts w:eastAsia="Times New Roman"/>
                <w:color w:val="000000"/>
                <w:sz w:val="20"/>
                <w:szCs w:val="20"/>
              </w:rPr>
            </w:pPr>
          </w:p>
        </w:tc>
        <w:tc>
          <w:tcPr>
            <w:tcW w:w="712" w:type="dxa"/>
            <w:tcBorders>
              <w:top w:val="nil"/>
              <w:left w:val="nil"/>
              <w:bottom w:val="nil"/>
              <w:right w:val="nil"/>
            </w:tcBorders>
            <w:shd w:val="clear" w:color="auto" w:fill="auto"/>
            <w:noWrap/>
            <w:vAlign w:val="bottom"/>
            <w:hideMark/>
          </w:tcPr>
          <w:p w14:paraId="76D57A75" w14:textId="77777777" w:rsidR="003772FB" w:rsidRPr="003772FB" w:rsidRDefault="00CD62B1" w:rsidP="003772FB">
            <w:pPr>
              <w:spacing w:after="0" w:line="240" w:lineRule="auto"/>
              <w:jc w:val="right"/>
              <w:rPr>
                <w:rFonts w:eastAsia="Times New Roman"/>
                <w:color w:val="000000"/>
                <w:sz w:val="20"/>
                <w:szCs w:val="20"/>
              </w:rPr>
            </w:pPr>
            <w:r>
              <w:rPr>
                <w:rFonts w:eastAsia="Times New Roman"/>
                <w:color w:val="000000"/>
                <w:sz w:val="20"/>
                <w:szCs w:val="20"/>
              </w:rPr>
              <w:t>22</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76C7C0EE" w14:textId="77777777" w:rsidR="003772FB" w:rsidRPr="003772FB" w:rsidRDefault="00986F4E" w:rsidP="003772FB">
            <w:pPr>
              <w:spacing w:after="0" w:line="240" w:lineRule="auto"/>
              <w:jc w:val="center"/>
              <w:rPr>
                <w:rFonts w:eastAsia="Times New Roman"/>
                <w:color w:val="000000"/>
                <w:sz w:val="20"/>
                <w:szCs w:val="20"/>
              </w:rPr>
            </w:pPr>
            <w:r>
              <w:rPr>
                <w:rFonts w:eastAsia="Times New Roman"/>
                <w:color w:val="000000"/>
                <w:sz w:val="20"/>
                <w:szCs w:val="20"/>
              </w:rPr>
              <w:t>19</w:t>
            </w:r>
            <w:r w:rsidR="003772FB" w:rsidRPr="003772FB">
              <w:rPr>
                <w:rFonts w:eastAsia="Times New Roman"/>
                <w:color w:val="000000"/>
                <w:sz w:val="20"/>
                <w:szCs w:val="20"/>
              </w:rPr>
              <w:t>%</w:t>
            </w:r>
          </w:p>
        </w:tc>
        <w:tc>
          <w:tcPr>
            <w:tcW w:w="3003" w:type="dxa"/>
            <w:tcBorders>
              <w:top w:val="nil"/>
              <w:left w:val="nil"/>
              <w:bottom w:val="nil"/>
              <w:right w:val="nil"/>
            </w:tcBorders>
            <w:shd w:val="clear" w:color="auto" w:fill="auto"/>
            <w:noWrap/>
            <w:vAlign w:val="bottom"/>
            <w:hideMark/>
          </w:tcPr>
          <w:p w14:paraId="68414FFD" w14:textId="77777777" w:rsidR="003772FB" w:rsidRPr="003772FB" w:rsidRDefault="003772FB" w:rsidP="003772FB">
            <w:pPr>
              <w:spacing w:after="0" w:line="240" w:lineRule="auto"/>
              <w:rPr>
                <w:rFonts w:eastAsia="Times New Roman"/>
                <w:b/>
                <w:bCs/>
                <w:color w:val="000000"/>
                <w:sz w:val="20"/>
                <w:szCs w:val="20"/>
              </w:rPr>
            </w:pPr>
            <w:r w:rsidRPr="003772FB">
              <w:rPr>
                <w:rFonts w:eastAsia="Times New Roman"/>
                <w:b/>
                <w:bCs/>
                <w:color w:val="000000"/>
                <w:sz w:val="20"/>
                <w:szCs w:val="20"/>
              </w:rPr>
              <w:t>Assessment</w:t>
            </w:r>
          </w:p>
        </w:tc>
      </w:tr>
      <w:tr w:rsidR="003772FB" w:rsidRPr="003772FB" w14:paraId="67D1C2B7" w14:textId="77777777" w:rsidTr="003772FB">
        <w:trPr>
          <w:trHeight w:val="315"/>
        </w:trPr>
        <w:tc>
          <w:tcPr>
            <w:tcW w:w="1385" w:type="dxa"/>
            <w:tcBorders>
              <w:top w:val="nil"/>
              <w:left w:val="nil"/>
              <w:bottom w:val="nil"/>
              <w:right w:val="nil"/>
            </w:tcBorders>
            <w:shd w:val="clear" w:color="auto" w:fill="auto"/>
            <w:noWrap/>
            <w:vAlign w:val="bottom"/>
            <w:hideMark/>
          </w:tcPr>
          <w:p w14:paraId="09DE6D26" w14:textId="77777777" w:rsidR="003772FB" w:rsidRPr="003772FB" w:rsidRDefault="003772FB" w:rsidP="003772FB">
            <w:pPr>
              <w:spacing w:after="0" w:line="240" w:lineRule="auto"/>
              <w:jc w:val="right"/>
              <w:rPr>
                <w:rFonts w:eastAsia="Times New Roman"/>
                <w:b/>
                <w:bCs/>
                <w:color w:val="000000"/>
                <w:sz w:val="20"/>
                <w:szCs w:val="20"/>
              </w:rPr>
            </w:pPr>
            <w:r w:rsidRPr="003772FB">
              <w:rPr>
                <w:rFonts w:eastAsia="Times New Roman"/>
                <w:b/>
                <w:bCs/>
                <w:color w:val="000000"/>
                <w:sz w:val="20"/>
                <w:szCs w:val="20"/>
              </w:rPr>
              <w:t>InTASC 7</w:t>
            </w:r>
          </w:p>
        </w:tc>
        <w:tc>
          <w:tcPr>
            <w:tcW w:w="403" w:type="dxa"/>
            <w:tcBorders>
              <w:top w:val="nil"/>
              <w:left w:val="nil"/>
              <w:bottom w:val="nil"/>
              <w:right w:val="nil"/>
            </w:tcBorders>
            <w:shd w:val="clear" w:color="auto" w:fill="auto"/>
            <w:noWrap/>
            <w:vAlign w:val="bottom"/>
            <w:hideMark/>
          </w:tcPr>
          <w:p w14:paraId="350E02A1" w14:textId="77777777" w:rsidR="003772FB" w:rsidRPr="003772FB" w:rsidRDefault="003772FB" w:rsidP="003772FB">
            <w:pPr>
              <w:spacing w:after="0" w:line="240" w:lineRule="auto"/>
              <w:jc w:val="center"/>
              <w:rPr>
                <w:rFonts w:eastAsia="Times New Roman"/>
                <w:color w:val="000000"/>
                <w:sz w:val="20"/>
                <w:szCs w:val="20"/>
              </w:rPr>
            </w:pPr>
          </w:p>
        </w:tc>
        <w:tc>
          <w:tcPr>
            <w:tcW w:w="663" w:type="dxa"/>
            <w:tcBorders>
              <w:top w:val="nil"/>
              <w:left w:val="nil"/>
              <w:bottom w:val="nil"/>
              <w:right w:val="nil"/>
            </w:tcBorders>
            <w:shd w:val="clear" w:color="auto" w:fill="auto"/>
            <w:noWrap/>
            <w:vAlign w:val="bottom"/>
            <w:hideMark/>
          </w:tcPr>
          <w:p w14:paraId="75879A53"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63" w:type="dxa"/>
            <w:tcBorders>
              <w:top w:val="nil"/>
              <w:left w:val="nil"/>
              <w:bottom w:val="nil"/>
              <w:right w:val="nil"/>
            </w:tcBorders>
            <w:shd w:val="clear" w:color="auto" w:fill="auto"/>
            <w:noWrap/>
            <w:vAlign w:val="bottom"/>
            <w:hideMark/>
          </w:tcPr>
          <w:p w14:paraId="6E385910"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16" w:type="dxa"/>
            <w:tcBorders>
              <w:top w:val="nil"/>
              <w:left w:val="nil"/>
              <w:bottom w:val="nil"/>
              <w:right w:val="nil"/>
            </w:tcBorders>
            <w:shd w:val="clear" w:color="auto" w:fill="auto"/>
            <w:noWrap/>
            <w:vAlign w:val="bottom"/>
            <w:hideMark/>
          </w:tcPr>
          <w:p w14:paraId="02BD9ED9" w14:textId="77777777" w:rsidR="003772FB" w:rsidRPr="003772FB" w:rsidRDefault="003772FB" w:rsidP="003772FB">
            <w:pPr>
              <w:spacing w:after="0" w:line="240" w:lineRule="auto"/>
              <w:jc w:val="right"/>
              <w:rPr>
                <w:rFonts w:eastAsia="Times New Roman"/>
                <w:color w:val="000000"/>
                <w:sz w:val="20"/>
                <w:szCs w:val="20"/>
              </w:rPr>
            </w:pPr>
            <w:r w:rsidRPr="003772FB">
              <w:rPr>
                <w:rFonts w:eastAsia="Times New Roman"/>
                <w:color w:val="000000"/>
                <w:sz w:val="20"/>
                <w:szCs w:val="20"/>
              </w:rPr>
              <w:t>90</w:t>
            </w:r>
          </w:p>
        </w:tc>
        <w:tc>
          <w:tcPr>
            <w:tcW w:w="1476" w:type="dxa"/>
            <w:tcBorders>
              <w:top w:val="nil"/>
              <w:left w:val="nil"/>
              <w:bottom w:val="nil"/>
              <w:right w:val="nil"/>
            </w:tcBorders>
            <w:shd w:val="clear" w:color="auto" w:fill="auto"/>
            <w:noWrap/>
            <w:vAlign w:val="bottom"/>
            <w:hideMark/>
          </w:tcPr>
          <w:p w14:paraId="3F838AD4" w14:textId="77777777" w:rsidR="003772FB" w:rsidRPr="00806D37" w:rsidRDefault="003772FB" w:rsidP="003772FB">
            <w:pPr>
              <w:spacing w:after="0" w:line="240" w:lineRule="auto"/>
              <w:jc w:val="center"/>
              <w:rPr>
                <w:rFonts w:eastAsia="Times New Roman"/>
                <w:b/>
                <w:color w:val="000000"/>
                <w:sz w:val="20"/>
                <w:szCs w:val="20"/>
              </w:rPr>
            </w:pPr>
            <w:r w:rsidRPr="00806D37">
              <w:rPr>
                <w:rFonts w:eastAsia="Times New Roman"/>
                <w:b/>
                <w:color w:val="000000"/>
                <w:sz w:val="20"/>
                <w:szCs w:val="20"/>
              </w:rPr>
              <w:t>92%</w:t>
            </w:r>
          </w:p>
        </w:tc>
        <w:tc>
          <w:tcPr>
            <w:tcW w:w="822" w:type="dxa"/>
            <w:tcBorders>
              <w:top w:val="nil"/>
              <w:left w:val="nil"/>
              <w:bottom w:val="nil"/>
              <w:right w:val="nil"/>
            </w:tcBorders>
            <w:shd w:val="clear" w:color="auto" w:fill="auto"/>
            <w:noWrap/>
            <w:vAlign w:val="bottom"/>
            <w:hideMark/>
          </w:tcPr>
          <w:p w14:paraId="3471B000" w14:textId="77777777" w:rsidR="003772FB" w:rsidRPr="003772FB" w:rsidRDefault="003772FB" w:rsidP="00CD62B1">
            <w:pPr>
              <w:spacing w:after="0" w:line="240" w:lineRule="auto"/>
              <w:jc w:val="center"/>
              <w:rPr>
                <w:rFonts w:eastAsia="Times New Roman"/>
                <w:color w:val="000000"/>
                <w:sz w:val="20"/>
                <w:szCs w:val="20"/>
              </w:rPr>
            </w:pPr>
          </w:p>
        </w:tc>
        <w:tc>
          <w:tcPr>
            <w:tcW w:w="712" w:type="dxa"/>
            <w:tcBorders>
              <w:top w:val="nil"/>
              <w:left w:val="nil"/>
              <w:bottom w:val="nil"/>
              <w:right w:val="nil"/>
            </w:tcBorders>
            <w:shd w:val="clear" w:color="auto" w:fill="auto"/>
            <w:noWrap/>
            <w:vAlign w:val="bottom"/>
            <w:hideMark/>
          </w:tcPr>
          <w:p w14:paraId="0879B756" w14:textId="77777777" w:rsidR="003772FB" w:rsidRPr="003772FB" w:rsidRDefault="00CD62B1" w:rsidP="00CD62B1">
            <w:pPr>
              <w:spacing w:after="0" w:line="240" w:lineRule="auto"/>
              <w:jc w:val="right"/>
              <w:rPr>
                <w:rFonts w:eastAsia="Times New Roman"/>
                <w:color w:val="000000"/>
                <w:sz w:val="20"/>
                <w:szCs w:val="20"/>
              </w:rPr>
            </w:pPr>
            <w:r>
              <w:rPr>
                <w:rFonts w:eastAsia="Times New Roman"/>
                <w:color w:val="000000"/>
                <w:sz w:val="20"/>
                <w:szCs w:val="20"/>
              </w:rPr>
              <w:t>13</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407B0EB9" w14:textId="77777777" w:rsidR="003772FB" w:rsidRPr="003772FB" w:rsidRDefault="00986F4E" w:rsidP="003772FB">
            <w:pPr>
              <w:spacing w:after="0" w:line="240" w:lineRule="auto"/>
              <w:jc w:val="center"/>
              <w:rPr>
                <w:rFonts w:eastAsia="Times New Roman"/>
                <w:color w:val="000000"/>
                <w:sz w:val="20"/>
                <w:szCs w:val="20"/>
              </w:rPr>
            </w:pPr>
            <w:r>
              <w:rPr>
                <w:rFonts w:eastAsia="Times New Roman"/>
                <w:color w:val="000000"/>
                <w:sz w:val="20"/>
                <w:szCs w:val="20"/>
              </w:rPr>
              <w:t>19</w:t>
            </w:r>
            <w:r w:rsidR="003772FB" w:rsidRPr="003772FB">
              <w:rPr>
                <w:rFonts w:eastAsia="Times New Roman"/>
                <w:color w:val="000000"/>
                <w:sz w:val="20"/>
                <w:szCs w:val="20"/>
              </w:rPr>
              <w:t>%</w:t>
            </w:r>
          </w:p>
        </w:tc>
        <w:tc>
          <w:tcPr>
            <w:tcW w:w="3003" w:type="dxa"/>
            <w:tcBorders>
              <w:top w:val="nil"/>
              <w:left w:val="nil"/>
              <w:bottom w:val="nil"/>
              <w:right w:val="nil"/>
            </w:tcBorders>
            <w:shd w:val="clear" w:color="auto" w:fill="auto"/>
            <w:noWrap/>
            <w:vAlign w:val="bottom"/>
            <w:hideMark/>
          </w:tcPr>
          <w:p w14:paraId="4BF096B0" w14:textId="77777777" w:rsidR="003772FB" w:rsidRPr="003772FB" w:rsidRDefault="003772FB" w:rsidP="003772FB">
            <w:pPr>
              <w:spacing w:after="0" w:line="240" w:lineRule="auto"/>
              <w:rPr>
                <w:rFonts w:eastAsia="Times New Roman"/>
                <w:b/>
                <w:bCs/>
                <w:color w:val="000000"/>
                <w:sz w:val="20"/>
                <w:szCs w:val="20"/>
              </w:rPr>
            </w:pPr>
            <w:r w:rsidRPr="003772FB">
              <w:rPr>
                <w:rFonts w:eastAsia="Times New Roman"/>
                <w:b/>
                <w:bCs/>
                <w:color w:val="000000"/>
                <w:sz w:val="20"/>
                <w:szCs w:val="20"/>
              </w:rPr>
              <w:t>Planning for Instruction</w:t>
            </w:r>
          </w:p>
        </w:tc>
      </w:tr>
      <w:tr w:rsidR="003772FB" w:rsidRPr="003772FB" w14:paraId="1A55CE70" w14:textId="77777777" w:rsidTr="003772FB">
        <w:trPr>
          <w:trHeight w:val="300"/>
        </w:trPr>
        <w:tc>
          <w:tcPr>
            <w:tcW w:w="1385" w:type="dxa"/>
            <w:tcBorders>
              <w:top w:val="nil"/>
              <w:left w:val="nil"/>
              <w:bottom w:val="nil"/>
              <w:right w:val="nil"/>
            </w:tcBorders>
            <w:shd w:val="clear" w:color="auto" w:fill="auto"/>
            <w:noWrap/>
            <w:vAlign w:val="bottom"/>
            <w:hideMark/>
          </w:tcPr>
          <w:p w14:paraId="7527CC15" w14:textId="77777777" w:rsidR="003772FB" w:rsidRPr="003772FB" w:rsidRDefault="003772FB" w:rsidP="003772FB">
            <w:pPr>
              <w:spacing w:after="0" w:line="240" w:lineRule="auto"/>
              <w:jc w:val="right"/>
              <w:rPr>
                <w:rFonts w:eastAsia="Times New Roman"/>
                <w:b/>
                <w:bCs/>
                <w:color w:val="000000"/>
                <w:sz w:val="20"/>
                <w:szCs w:val="20"/>
              </w:rPr>
            </w:pPr>
            <w:r w:rsidRPr="003772FB">
              <w:rPr>
                <w:rFonts w:eastAsia="Times New Roman"/>
                <w:b/>
                <w:bCs/>
                <w:color w:val="000000"/>
                <w:sz w:val="20"/>
                <w:szCs w:val="20"/>
              </w:rPr>
              <w:t>InTASC 8</w:t>
            </w:r>
          </w:p>
        </w:tc>
        <w:tc>
          <w:tcPr>
            <w:tcW w:w="403" w:type="dxa"/>
            <w:tcBorders>
              <w:top w:val="nil"/>
              <w:left w:val="nil"/>
              <w:bottom w:val="nil"/>
              <w:right w:val="nil"/>
            </w:tcBorders>
            <w:shd w:val="clear" w:color="auto" w:fill="auto"/>
            <w:noWrap/>
            <w:vAlign w:val="bottom"/>
            <w:hideMark/>
          </w:tcPr>
          <w:p w14:paraId="12CD2729" w14:textId="77777777" w:rsidR="003772FB" w:rsidRPr="003772FB" w:rsidRDefault="003772FB" w:rsidP="003772FB">
            <w:pPr>
              <w:spacing w:after="0" w:line="240" w:lineRule="auto"/>
              <w:jc w:val="center"/>
              <w:rPr>
                <w:rFonts w:eastAsia="Times New Roman"/>
                <w:color w:val="000000"/>
                <w:sz w:val="20"/>
                <w:szCs w:val="20"/>
              </w:rPr>
            </w:pPr>
          </w:p>
        </w:tc>
        <w:tc>
          <w:tcPr>
            <w:tcW w:w="663" w:type="dxa"/>
            <w:tcBorders>
              <w:top w:val="nil"/>
              <w:left w:val="nil"/>
              <w:bottom w:val="nil"/>
              <w:right w:val="nil"/>
            </w:tcBorders>
            <w:shd w:val="clear" w:color="auto" w:fill="auto"/>
            <w:noWrap/>
            <w:vAlign w:val="bottom"/>
            <w:hideMark/>
          </w:tcPr>
          <w:p w14:paraId="6364082A"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63" w:type="dxa"/>
            <w:tcBorders>
              <w:top w:val="nil"/>
              <w:left w:val="nil"/>
              <w:bottom w:val="nil"/>
              <w:right w:val="nil"/>
            </w:tcBorders>
            <w:shd w:val="clear" w:color="auto" w:fill="auto"/>
            <w:noWrap/>
            <w:vAlign w:val="bottom"/>
            <w:hideMark/>
          </w:tcPr>
          <w:p w14:paraId="0F9A1CE9"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16" w:type="dxa"/>
            <w:tcBorders>
              <w:top w:val="nil"/>
              <w:left w:val="nil"/>
              <w:bottom w:val="nil"/>
              <w:right w:val="nil"/>
            </w:tcBorders>
            <w:shd w:val="clear" w:color="auto" w:fill="auto"/>
            <w:noWrap/>
            <w:vAlign w:val="bottom"/>
            <w:hideMark/>
          </w:tcPr>
          <w:p w14:paraId="2653CE78" w14:textId="77777777" w:rsidR="003772FB" w:rsidRPr="003772FB" w:rsidRDefault="003772FB" w:rsidP="003772FB">
            <w:pPr>
              <w:spacing w:after="0" w:line="240" w:lineRule="auto"/>
              <w:jc w:val="right"/>
              <w:rPr>
                <w:rFonts w:eastAsia="Times New Roman"/>
                <w:color w:val="000000"/>
                <w:sz w:val="20"/>
                <w:szCs w:val="20"/>
              </w:rPr>
            </w:pPr>
            <w:r w:rsidRPr="003772FB">
              <w:rPr>
                <w:rFonts w:eastAsia="Times New Roman"/>
                <w:color w:val="000000"/>
                <w:sz w:val="20"/>
                <w:szCs w:val="20"/>
              </w:rPr>
              <w:t>90</w:t>
            </w:r>
          </w:p>
        </w:tc>
        <w:tc>
          <w:tcPr>
            <w:tcW w:w="1476" w:type="dxa"/>
            <w:tcBorders>
              <w:top w:val="nil"/>
              <w:left w:val="nil"/>
              <w:bottom w:val="nil"/>
              <w:right w:val="nil"/>
            </w:tcBorders>
            <w:shd w:val="clear" w:color="auto" w:fill="auto"/>
            <w:noWrap/>
            <w:vAlign w:val="bottom"/>
            <w:hideMark/>
          </w:tcPr>
          <w:p w14:paraId="7824916E" w14:textId="77777777" w:rsidR="003772FB" w:rsidRPr="00806D37" w:rsidRDefault="003772FB" w:rsidP="003772FB">
            <w:pPr>
              <w:spacing w:after="0" w:line="240" w:lineRule="auto"/>
              <w:jc w:val="center"/>
              <w:rPr>
                <w:rFonts w:eastAsia="Times New Roman"/>
                <w:b/>
                <w:color w:val="000000"/>
                <w:sz w:val="20"/>
                <w:szCs w:val="20"/>
              </w:rPr>
            </w:pPr>
            <w:r w:rsidRPr="00806D37">
              <w:rPr>
                <w:rFonts w:eastAsia="Times New Roman"/>
                <w:b/>
                <w:color w:val="000000"/>
                <w:sz w:val="20"/>
                <w:szCs w:val="20"/>
              </w:rPr>
              <w:t>90%</w:t>
            </w:r>
          </w:p>
        </w:tc>
        <w:tc>
          <w:tcPr>
            <w:tcW w:w="822" w:type="dxa"/>
            <w:tcBorders>
              <w:top w:val="nil"/>
              <w:left w:val="nil"/>
              <w:bottom w:val="nil"/>
              <w:right w:val="nil"/>
            </w:tcBorders>
            <w:shd w:val="clear" w:color="auto" w:fill="auto"/>
            <w:noWrap/>
            <w:vAlign w:val="bottom"/>
            <w:hideMark/>
          </w:tcPr>
          <w:p w14:paraId="2DEC1FE0" w14:textId="77777777" w:rsidR="003772FB" w:rsidRPr="003772FB" w:rsidRDefault="003772FB" w:rsidP="00CD62B1">
            <w:pPr>
              <w:spacing w:after="0" w:line="240" w:lineRule="auto"/>
              <w:jc w:val="center"/>
              <w:rPr>
                <w:rFonts w:eastAsia="Times New Roman"/>
                <w:color w:val="000000"/>
                <w:sz w:val="20"/>
                <w:szCs w:val="20"/>
              </w:rPr>
            </w:pPr>
          </w:p>
        </w:tc>
        <w:tc>
          <w:tcPr>
            <w:tcW w:w="712" w:type="dxa"/>
            <w:tcBorders>
              <w:top w:val="nil"/>
              <w:left w:val="nil"/>
              <w:bottom w:val="nil"/>
              <w:right w:val="nil"/>
            </w:tcBorders>
            <w:shd w:val="clear" w:color="auto" w:fill="auto"/>
            <w:noWrap/>
            <w:vAlign w:val="bottom"/>
            <w:hideMark/>
          </w:tcPr>
          <w:p w14:paraId="568F920A" w14:textId="77777777" w:rsidR="003772FB" w:rsidRPr="003772FB" w:rsidRDefault="00CD62B1" w:rsidP="00CD62B1">
            <w:pPr>
              <w:spacing w:after="0" w:line="240" w:lineRule="auto"/>
              <w:jc w:val="right"/>
              <w:rPr>
                <w:rFonts w:eastAsia="Times New Roman"/>
                <w:color w:val="000000"/>
                <w:sz w:val="20"/>
                <w:szCs w:val="20"/>
              </w:rPr>
            </w:pPr>
            <w:r>
              <w:rPr>
                <w:rFonts w:eastAsia="Times New Roman"/>
                <w:color w:val="000000"/>
                <w:sz w:val="20"/>
                <w:szCs w:val="20"/>
              </w:rPr>
              <w:t>27</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5CE27647" w14:textId="77777777" w:rsidR="003772FB" w:rsidRPr="003772FB" w:rsidRDefault="00986F4E" w:rsidP="003772FB">
            <w:pPr>
              <w:spacing w:after="0" w:line="240" w:lineRule="auto"/>
              <w:jc w:val="center"/>
              <w:rPr>
                <w:rFonts w:eastAsia="Times New Roman"/>
                <w:color w:val="000000"/>
                <w:sz w:val="20"/>
                <w:szCs w:val="20"/>
              </w:rPr>
            </w:pPr>
            <w:r>
              <w:rPr>
                <w:rFonts w:eastAsia="Times New Roman"/>
                <w:color w:val="000000"/>
                <w:sz w:val="20"/>
                <w:szCs w:val="20"/>
              </w:rPr>
              <w:t>21</w:t>
            </w:r>
            <w:r w:rsidR="003772FB" w:rsidRPr="003772FB">
              <w:rPr>
                <w:rFonts w:eastAsia="Times New Roman"/>
                <w:color w:val="000000"/>
                <w:sz w:val="20"/>
                <w:szCs w:val="20"/>
              </w:rPr>
              <w:t>%</w:t>
            </w:r>
          </w:p>
        </w:tc>
        <w:tc>
          <w:tcPr>
            <w:tcW w:w="3003" w:type="dxa"/>
            <w:tcBorders>
              <w:top w:val="nil"/>
              <w:left w:val="nil"/>
              <w:bottom w:val="nil"/>
              <w:right w:val="nil"/>
            </w:tcBorders>
            <w:shd w:val="clear" w:color="auto" w:fill="auto"/>
            <w:noWrap/>
            <w:vAlign w:val="bottom"/>
            <w:hideMark/>
          </w:tcPr>
          <w:p w14:paraId="76E06A2A" w14:textId="77777777" w:rsidR="003772FB" w:rsidRPr="003772FB" w:rsidRDefault="003772FB" w:rsidP="003772FB">
            <w:pPr>
              <w:spacing w:after="0" w:line="240" w:lineRule="auto"/>
              <w:rPr>
                <w:rFonts w:eastAsia="Times New Roman"/>
                <w:b/>
                <w:bCs/>
                <w:color w:val="000000"/>
                <w:sz w:val="20"/>
                <w:szCs w:val="20"/>
              </w:rPr>
            </w:pPr>
            <w:r w:rsidRPr="003772FB">
              <w:rPr>
                <w:rFonts w:eastAsia="Times New Roman"/>
                <w:b/>
                <w:bCs/>
                <w:color w:val="000000"/>
                <w:sz w:val="20"/>
                <w:szCs w:val="20"/>
              </w:rPr>
              <w:t>Instructional Strategies</w:t>
            </w:r>
          </w:p>
        </w:tc>
      </w:tr>
      <w:tr w:rsidR="003772FB" w:rsidRPr="003772FB" w14:paraId="23DB95BC" w14:textId="77777777" w:rsidTr="003772FB">
        <w:trPr>
          <w:trHeight w:val="300"/>
        </w:trPr>
        <w:tc>
          <w:tcPr>
            <w:tcW w:w="1385" w:type="dxa"/>
            <w:tcBorders>
              <w:top w:val="nil"/>
              <w:left w:val="nil"/>
              <w:bottom w:val="nil"/>
              <w:right w:val="nil"/>
            </w:tcBorders>
            <w:shd w:val="clear" w:color="auto" w:fill="auto"/>
            <w:noWrap/>
            <w:vAlign w:val="bottom"/>
            <w:hideMark/>
          </w:tcPr>
          <w:p w14:paraId="68DD57DB" w14:textId="77777777" w:rsidR="003772FB" w:rsidRPr="003772FB" w:rsidRDefault="003772FB" w:rsidP="003772FB">
            <w:pPr>
              <w:spacing w:after="0" w:line="240" w:lineRule="auto"/>
              <w:jc w:val="right"/>
              <w:rPr>
                <w:rFonts w:eastAsia="Times New Roman"/>
                <w:b/>
                <w:bCs/>
                <w:color w:val="000000"/>
                <w:sz w:val="20"/>
                <w:szCs w:val="20"/>
              </w:rPr>
            </w:pPr>
            <w:r w:rsidRPr="003772FB">
              <w:rPr>
                <w:rFonts w:eastAsia="Times New Roman"/>
                <w:b/>
                <w:bCs/>
                <w:color w:val="000000"/>
                <w:sz w:val="20"/>
                <w:szCs w:val="20"/>
              </w:rPr>
              <w:t>InTASC 9</w:t>
            </w:r>
          </w:p>
        </w:tc>
        <w:tc>
          <w:tcPr>
            <w:tcW w:w="403" w:type="dxa"/>
            <w:tcBorders>
              <w:top w:val="nil"/>
              <w:left w:val="nil"/>
              <w:bottom w:val="nil"/>
              <w:right w:val="nil"/>
            </w:tcBorders>
            <w:shd w:val="clear" w:color="auto" w:fill="auto"/>
            <w:noWrap/>
            <w:vAlign w:val="bottom"/>
            <w:hideMark/>
          </w:tcPr>
          <w:p w14:paraId="0E805D1B"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1</w:t>
            </w:r>
          </w:p>
        </w:tc>
        <w:tc>
          <w:tcPr>
            <w:tcW w:w="663" w:type="dxa"/>
            <w:tcBorders>
              <w:top w:val="nil"/>
              <w:left w:val="nil"/>
              <w:bottom w:val="nil"/>
              <w:right w:val="nil"/>
            </w:tcBorders>
            <w:shd w:val="clear" w:color="auto" w:fill="auto"/>
            <w:noWrap/>
            <w:vAlign w:val="bottom"/>
            <w:hideMark/>
          </w:tcPr>
          <w:p w14:paraId="6D80818A"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63" w:type="dxa"/>
            <w:tcBorders>
              <w:top w:val="nil"/>
              <w:left w:val="nil"/>
              <w:bottom w:val="nil"/>
              <w:right w:val="nil"/>
            </w:tcBorders>
            <w:shd w:val="clear" w:color="auto" w:fill="auto"/>
            <w:noWrap/>
            <w:vAlign w:val="bottom"/>
            <w:hideMark/>
          </w:tcPr>
          <w:p w14:paraId="75F675D4"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16" w:type="dxa"/>
            <w:tcBorders>
              <w:top w:val="nil"/>
              <w:left w:val="nil"/>
              <w:bottom w:val="nil"/>
              <w:right w:val="nil"/>
            </w:tcBorders>
            <w:shd w:val="clear" w:color="auto" w:fill="auto"/>
            <w:noWrap/>
            <w:vAlign w:val="bottom"/>
            <w:hideMark/>
          </w:tcPr>
          <w:p w14:paraId="0B133909" w14:textId="77777777" w:rsidR="003772FB" w:rsidRPr="003772FB" w:rsidRDefault="003772FB" w:rsidP="003772FB">
            <w:pPr>
              <w:spacing w:after="0" w:line="240" w:lineRule="auto"/>
              <w:jc w:val="right"/>
              <w:rPr>
                <w:rFonts w:eastAsia="Times New Roman"/>
                <w:color w:val="000000"/>
                <w:sz w:val="20"/>
                <w:szCs w:val="20"/>
              </w:rPr>
            </w:pPr>
            <w:r w:rsidRPr="003772FB">
              <w:rPr>
                <w:rFonts w:eastAsia="Times New Roman"/>
                <w:color w:val="000000"/>
                <w:sz w:val="20"/>
                <w:szCs w:val="20"/>
              </w:rPr>
              <w:t>132</w:t>
            </w:r>
          </w:p>
        </w:tc>
        <w:tc>
          <w:tcPr>
            <w:tcW w:w="1476" w:type="dxa"/>
            <w:tcBorders>
              <w:top w:val="nil"/>
              <w:left w:val="nil"/>
              <w:bottom w:val="nil"/>
              <w:right w:val="nil"/>
            </w:tcBorders>
            <w:shd w:val="clear" w:color="auto" w:fill="auto"/>
            <w:noWrap/>
            <w:vAlign w:val="bottom"/>
            <w:hideMark/>
          </w:tcPr>
          <w:p w14:paraId="7B7FBAD9" w14:textId="77777777" w:rsidR="003772FB" w:rsidRPr="00806D37" w:rsidRDefault="003772FB" w:rsidP="003772FB">
            <w:pPr>
              <w:spacing w:after="0" w:line="240" w:lineRule="auto"/>
              <w:jc w:val="center"/>
              <w:rPr>
                <w:rFonts w:eastAsia="Times New Roman"/>
                <w:b/>
                <w:color w:val="000000"/>
                <w:sz w:val="20"/>
                <w:szCs w:val="20"/>
              </w:rPr>
            </w:pPr>
            <w:r w:rsidRPr="00806D37">
              <w:rPr>
                <w:rFonts w:eastAsia="Times New Roman"/>
                <w:b/>
                <w:color w:val="000000"/>
                <w:sz w:val="20"/>
                <w:szCs w:val="20"/>
              </w:rPr>
              <w:t>92%</w:t>
            </w:r>
          </w:p>
        </w:tc>
        <w:tc>
          <w:tcPr>
            <w:tcW w:w="822" w:type="dxa"/>
            <w:tcBorders>
              <w:top w:val="nil"/>
              <w:left w:val="nil"/>
              <w:bottom w:val="nil"/>
              <w:right w:val="nil"/>
            </w:tcBorders>
            <w:shd w:val="clear" w:color="auto" w:fill="auto"/>
            <w:noWrap/>
            <w:vAlign w:val="bottom"/>
            <w:hideMark/>
          </w:tcPr>
          <w:p w14:paraId="6E3019F4" w14:textId="77777777" w:rsidR="003772FB" w:rsidRPr="003772FB" w:rsidRDefault="00CD62B1" w:rsidP="00CD62B1">
            <w:pPr>
              <w:spacing w:after="0" w:line="240" w:lineRule="auto"/>
              <w:jc w:val="center"/>
              <w:rPr>
                <w:rFonts w:eastAsia="Times New Roman"/>
                <w:color w:val="000000"/>
                <w:sz w:val="20"/>
                <w:szCs w:val="20"/>
              </w:rPr>
            </w:pPr>
            <w:r>
              <w:rPr>
                <w:rFonts w:eastAsia="Times New Roman"/>
                <w:color w:val="000000"/>
                <w:sz w:val="20"/>
                <w:szCs w:val="20"/>
              </w:rPr>
              <w:t>7</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4660A10C" w14:textId="77777777" w:rsidR="003772FB" w:rsidRPr="003772FB" w:rsidRDefault="00986F4E" w:rsidP="003772FB">
            <w:pPr>
              <w:spacing w:after="0" w:line="240" w:lineRule="auto"/>
              <w:jc w:val="right"/>
              <w:rPr>
                <w:rFonts w:eastAsia="Times New Roman"/>
                <w:color w:val="000000"/>
                <w:sz w:val="20"/>
                <w:szCs w:val="20"/>
              </w:rPr>
            </w:pPr>
            <w:r>
              <w:rPr>
                <w:rFonts w:eastAsia="Times New Roman"/>
                <w:color w:val="000000"/>
                <w:sz w:val="20"/>
                <w:szCs w:val="20"/>
              </w:rPr>
              <w:t>15</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040F297F" w14:textId="77777777" w:rsidR="003772FB" w:rsidRPr="003772FB" w:rsidRDefault="00986F4E" w:rsidP="003772FB">
            <w:pPr>
              <w:spacing w:after="0" w:line="240" w:lineRule="auto"/>
              <w:jc w:val="center"/>
              <w:rPr>
                <w:rFonts w:eastAsia="Times New Roman"/>
                <w:color w:val="000000"/>
                <w:sz w:val="20"/>
                <w:szCs w:val="20"/>
              </w:rPr>
            </w:pPr>
            <w:r>
              <w:rPr>
                <w:rFonts w:eastAsia="Times New Roman"/>
                <w:color w:val="000000"/>
                <w:sz w:val="20"/>
                <w:szCs w:val="20"/>
              </w:rPr>
              <w:t>16</w:t>
            </w:r>
            <w:r w:rsidR="003772FB" w:rsidRPr="003772FB">
              <w:rPr>
                <w:rFonts w:eastAsia="Times New Roman"/>
                <w:color w:val="000000"/>
                <w:sz w:val="20"/>
                <w:szCs w:val="20"/>
              </w:rPr>
              <w:t>%</w:t>
            </w:r>
          </w:p>
        </w:tc>
        <w:tc>
          <w:tcPr>
            <w:tcW w:w="3003" w:type="dxa"/>
            <w:tcBorders>
              <w:top w:val="nil"/>
              <w:left w:val="nil"/>
              <w:bottom w:val="nil"/>
              <w:right w:val="nil"/>
            </w:tcBorders>
            <w:shd w:val="clear" w:color="auto" w:fill="auto"/>
            <w:noWrap/>
            <w:vAlign w:val="bottom"/>
            <w:hideMark/>
          </w:tcPr>
          <w:p w14:paraId="54B7A256" w14:textId="77777777" w:rsidR="003772FB" w:rsidRPr="003772FB" w:rsidRDefault="003772FB" w:rsidP="003772FB">
            <w:pPr>
              <w:spacing w:after="0" w:line="240" w:lineRule="auto"/>
              <w:rPr>
                <w:rFonts w:eastAsia="Times New Roman"/>
                <w:b/>
                <w:bCs/>
                <w:color w:val="000000"/>
                <w:sz w:val="20"/>
                <w:szCs w:val="20"/>
              </w:rPr>
            </w:pPr>
            <w:r w:rsidRPr="003772FB">
              <w:rPr>
                <w:rFonts w:eastAsia="Times New Roman"/>
                <w:b/>
                <w:bCs/>
                <w:color w:val="000000"/>
                <w:sz w:val="20"/>
                <w:szCs w:val="20"/>
              </w:rPr>
              <w:t>Professional Learning/Ethics</w:t>
            </w:r>
          </w:p>
        </w:tc>
      </w:tr>
      <w:tr w:rsidR="003772FB" w:rsidRPr="003772FB" w14:paraId="3A220A86" w14:textId="77777777" w:rsidTr="003772FB">
        <w:trPr>
          <w:trHeight w:val="315"/>
        </w:trPr>
        <w:tc>
          <w:tcPr>
            <w:tcW w:w="1385" w:type="dxa"/>
            <w:tcBorders>
              <w:top w:val="nil"/>
              <w:left w:val="nil"/>
              <w:bottom w:val="nil"/>
              <w:right w:val="nil"/>
            </w:tcBorders>
            <w:shd w:val="clear" w:color="auto" w:fill="auto"/>
            <w:noWrap/>
            <w:vAlign w:val="bottom"/>
            <w:hideMark/>
          </w:tcPr>
          <w:p w14:paraId="3A0C14A1" w14:textId="77777777" w:rsidR="003772FB" w:rsidRPr="003772FB" w:rsidRDefault="003772FB" w:rsidP="003772FB">
            <w:pPr>
              <w:spacing w:after="0" w:line="240" w:lineRule="auto"/>
              <w:jc w:val="right"/>
              <w:rPr>
                <w:rFonts w:eastAsia="Times New Roman"/>
                <w:b/>
                <w:bCs/>
                <w:color w:val="000000"/>
                <w:sz w:val="20"/>
                <w:szCs w:val="20"/>
              </w:rPr>
            </w:pPr>
            <w:r w:rsidRPr="003772FB">
              <w:rPr>
                <w:rFonts w:eastAsia="Times New Roman"/>
                <w:b/>
                <w:bCs/>
                <w:color w:val="000000"/>
                <w:sz w:val="20"/>
                <w:szCs w:val="20"/>
              </w:rPr>
              <w:t>InTASC 10</w:t>
            </w:r>
          </w:p>
        </w:tc>
        <w:tc>
          <w:tcPr>
            <w:tcW w:w="403" w:type="dxa"/>
            <w:tcBorders>
              <w:top w:val="nil"/>
              <w:left w:val="nil"/>
              <w:bottom w:val="nil"/>
              <w:right w:val="nil"/>
            </w:tcBorders>
            <w:shd w:val="clear" w:color="auto" w:fill="auto"/>
            <w:noWrap/>
            <w:vAlign w:val="bottom"/>
            <w:hideMark/>
          </w:tcPr>
          <w:p w14:paraId="7C803B54"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1</w:t>
            </w:r>
          </w:p>
        </w:tc>
        <w:tc>
          <w:tcPr>
            <w:tcW w:w="663" w:type="dxa"/>
            <w:tcBorders>
              <w:top w:val="nil"/>
              <w:left w:val="nil"/>
              <w:bottom w:val="nil"/>
              <w:right w:val="nil"/>
            </w:tcBorders>
            <w:shd w:val="clear" w:color="auto" w:fill="auto"/>
            <w:noWrap/>
            <w:vAlign w:val="bottom"/>
            <w:hideMark/>
          </w:tcPr>
          <w:p w14:paraId="5E70F35C"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63" w:type="dxa"/>
            <w:tcBorders>
              <w:top w:val="nil"/>
              <w:left w:val="nil"/>
              <w:bottom w:val="nil"/>
              <w:right w:val="nil"/>
            </w:tcBorders>
            <w:shd w:val="clear" w:color="auto" w:fill="auto"/>
            <w:noWrap/>
            <w:vAlign w:val="bottom"/>
            <w:hideMark/>
          </w:tcPr>
          <w:p w14:paraId="2E34F55A" w14:textId="77777777" w:rsidR="003772FB" w:rsidRPr="003772FB" w:rsidRDefault="003772FB" w:rsidP="003772FB">
            <w:pPr>
              <w:spacing w:after="0" w:line="240" w:lineRule="auto"/>
              <w:jc w:val="center"/>
              <w:rPr>
                <w:rFonts w:eastAsia="Times New Roman"/>
                <w:color w:val="000000"/>
                <w:sz w:val="20"/>
                <w:szCs w:val="20"/>
              </w:rPr>
            </w:pPr>
            <w:r w:rsidRPr="003772FB">
              <w:rPr>
                <w:rFonts w:eastAsia="Times New Roman"/>
                <w:color w:val="000000"/>
                <w:sz w:val="20"/>
                <w:szCs w:val="20"/>
              </w:rPr>
              <w:t>2</w:t>
            </w:r>
          </w:p>
        </w:tc>
        <w:tc>
          <w:tcPr>
            <w:tcW w:w="616" w:type="dxa"/>
            <w:tcBorders>
              <w:top w:val="nil"/>
              <w:left w:val="nil"/>
              <w:bottom w:val="nil"/>
              <w:right w:val="nil"/>
            </w:tcBorders>
            <w:shd w:val="clear" w:color="auto" w:fill="auto"/>
            <w:noWrap/>
            <w:vAlign w:val="bottom"/>
            <w:hideMark/>
          </w:tcPr>
          <w:p w14:paraId="40B54ADF" w14:textId="77777777" w:rsidR="003772FB" w:rsidRPr="003772FB" w:rsidRDefault="003772FB" w:rsidP="003772FB">
            <w:pPr>
              <w:spacing w:after="0" w:line="240" w:lineRule="auto"/>
              <w:jc w:val="right"/>
              <w:rPr>
                <w:rFonts w:eastAsia="Times New Roman"/>
                <w:color w:val="000000"/>
                <w:sz w:val="20"/>
                <w:szCs w:val="20"/>
              </w:rPr>
            </w:pPr>
            <w:r w:rsidRPr="003772FB">
              <w:rPr>
                <w:rFonts w:eastAsia="Times New Roman"/>
                <w:color w:val="000000"/>
                <w:sz w:val="20"/>
                <w:szCs w:val="20"/>
              </w:rPr>
              <w:t>134</w:t>
            </w:r>
          </w:p>
        </w:tc>
        <w:tc>
          <w:tcPr>
            <w:tcW w:w="1476" w:type="dxa"/>
            <w:tcBorders>
              <w:top w:val="nil"/>
              <w:left w:val="nil"/>
              <w:bottom w:val="nil"/>
              <w:right w:val="nil"/>
            </w:tcBorders>
            <w:shd w:val="clear" w:color="auto" w:fill="auto"/>
            <w:noWrap/>
            <w:vAlign w:val="bottom"/>
            <w:hideMark/>
          </w:tcPr>
          <w:p w14:paraId="06062A4D" w14:textId="77777777" w:rsidR="003772FB" w:rsidRPr="00806D37" w:rsidRDefault="003772FB" w:rsidP="003772FB">
            <w:pPr>
              <w:spacing w:after="0" w:line="240" w:lineRule="auto"/>
              <w:jc w:val="center"/>
              <w:rPr>
                <w:rFonts w:eastAsia="Times New Roman"/>
                <w:b/>
                <w:color w:val="000000"/>
                <w:sz w:val="20"/>
                <w:szCs w:val="20"/>
              </w:rPr>
            </w:pPr>
            <w:r w:rsidRPr="00806D37">
              <w:rPr>
                <w:rFonts w:eastAsia="Times New Roman"/>
                <w:b/>
                <w:color w:val="000000"/>
                <w:sz w:val="20"/>
                <w:szCs w:val="20"/>
              </w:rPr>
              <w:t>90%</w:t>
            </w:r>
          </w:p>
        </w:tc>
        <w:tc>
          <w:tcPr>
            <w:tcW w:w="822" w:type="dxa"/>
            <w:tcBorders>
              <w:top w:val="nil"/>
              <w:left w:val="nil"/>
              <w:bottom w:val="nil"/>
              <w:right w:val="nil"/>
            </w:tcBorders>
            <w:shd w:val="clear" w:color="auto" w:fill="auto"/>
            <w:noWrap/>
            <w:vAlign w:val="bottom"/>
            <w:hideMark/>
          </w:tcPr>
          <w:p w14:paraId="359184EB" w14:textId="77777777" w:rsidR="003772FB" w:rsidRPr="003772FB" w:rsidRDefault="00CD62B1" w:rsidP="00CD62B1">
            <w:pPr>
              <w:spacing w:after="0" w:line="240" w:lineRule="auto"/>
              <w:jc w:val="center"/>
              <w:rPr>
                <w:rFonts w:eastAsia="Times New Roman"/>
                <w:color w:val="000000"/>
                <w:sz w:val="20"/>
                <w:szCs w:val="20"/>
              </w:rPr>
            </w:pPr>
            <w:r>
              <w:rPr>
                <w:rFonts w:eastAsia="Times New Roman"/>
                <w:color w:val="000000"/>
                <w:sz w:val="20"/>
                <w:szCs w:val="20"/>
              </w:rPr>
              <w:t>7</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2AA50703" w14:textId="77777777" w:rsidR="003772FB" w:rsidRPr="003772FB" w:rsidRDefault="00986F4E" w:rsidP="003772FB">
            <w:pPr>
              <w:spacing w:after="0" w:line="240" w:lineRule="auto"/>
              <w:jc w:val="right"/>
              <w:rPr>
                <w:rFonts w:eastAsia="Times New Roman"/>
                <w:color w:val="000000"/>
                <w:sz w:val="20"/>
                <w:szCs w:val="20"/>
              </w:rPr>
            </w:pPr>
            <w:r>
              <w:rPr>
                <w:rFonts w:eastAsia="Times New Roman"/>
                <w:color w:val="000000"/>
                <w:sz w:val="20"/>
                <w:szCs w:val="20"/>
              </w:rPr>
              <w:t>22</w:t>
            </w:r>
            <w:r w:rsidR="003772FB" w:rsidRPr="003772FB">
              <w:rPr>
                <w:rFonts w:eastAsia="Times New Roman"/>
                <w:color w:val="000000"/>
                <w:sz w:val="20"/>
                <w:szCs w:val="20"/>
              </w:rPr>
              <w:t>%</w:t>
            </w:r>
          </w:p>
        </w:tc>
        <w:tc>
          <w:tcPr>
            <w:tcW w:w="712" w:type="dxa"/>
            <w:tcBorders>
              <w:top w:val="nil"/>
              <w:left w:val="nil"/>
              <w:bottom w:val="nil"/>
              <w:right w:val="nil"/>
            </w:tcBorders>
            <w:shd w:val="clear" w:color="auto" w:fill="auto"/>
            <w:noWrap/>
            <w:vAlign w:val="bottom"/>
            <w:hideMark/>
          </w:tcPr>
          <w:p w14:paraId="180AB730" w14:textId="77777777" w:rsidR="003772FB" w:rsidRPr="003772FB" w:rsidRDefault="00986F4E" w:rsidP="003772FB">
            <w:pPr>
              <w:spacing w:after="0" w:line="240" w:lineRule="auto"/>
              <w:jc w:val="center"/>
              <w:rPr>
                <w:rFonts w:eastAsia="Times New Roman"/>
                <w:color w:val="000000"/>
                <w:sz w:val="20"/>
                <w:szCs w:val="20"/>
              </w:rPr>
            </w:pPr>
            <w:r>
              <w:rPr>
                <w:rFonts w:eastAsia="Times New Roman"/>
                <w:color w:val="000000"/>
                <w:sz w:val="20"/>
                <w:szCs w:val="20"/>
              </w:rPr>
              <w:t>21</w:t>
            </w:r>
            <w:r w:rsidR="003772FB" w:rsidRPr="003772FB">
              <w:rPr>
                <w:rFonts w:eastAsia="Times New Roman"/>
                <w:color w:val="000000"/>
                <w:sz w:val="20"/>
                <w:szCs w:val="20"/>
              </w:rPr>
              <w:t>%</w:t>
            </w:r>
          </w:p>
        </w:tc>
        <w:tc>
          <w:tcPr>
            <w:tcW w:w="3003" w:type="dxa"/>
            <w:tcBorders>
              <w:top w:val="nil"/>
              <w:left w:val="nil"/>
              <w:bottom w:val="nil"/>
              <w:right w:val="nil"/>
            </w:tcBorders>
            <w:shd w:val="clear" w:color="auto" w:fill="auto"/>
            <w:noWrap/>
            <w:vAlign w:val="bottom"/>
            <w:hideMark/>
          </w:tcPr>
          <w:p w14:paraId="6E226FA5" w14:textId="77777777" w:rsidR="003772FB" w:rsidRPr="003772FB" w:rsidRDefault="003772FB" w:rsidP="003772FB">
            <w:pPr>
              <w:spacing w:after="0" w:line="240" w:lineRule="auto"/>
              <w:rPr>
                <w:rFonts w:eastAsia="Times New Roman"/>
                <w:b/>
                <w:bCs/>
                <w:color w:val="000000"/>
                <w:sz w:val="20"/>
                <w:szCs w:val="20"/>
              </w:rPr>
            </w:pPr>
            <w:r w:rsidRPr="003772FB">
              <w:rPr>
                <w:rFonts w:eastAsia="Times New Roman"/>
                <w:b/>
                <w:bCs/>
                <w:color w:val="000000"/>
                <w:sz w:val="20"/>
                <w:szCs w:val="20"/>
              </w:rPr>
              <w:t>Leadership and Collaboration</w:t>
            </w:r>
          </w:p>
        </w:tc>
      </w:tr>
      <w:tr w:rsidR="003772FB" w:rsidRPr="003772FB" w14:paraId="30CF9579" w14:textId="77777777" w:rsidTr="003772FB">
        <w:trPr>
          <w:trHeight w:val="300"/>
        </w:trPr>
        <w:tc>
          <w:tcPr>
            <w:tcW w:w="1385" w:type="dxa"/>
            <w:tcBorders>
              <w:top w:val="single" w:sz="4" w:space="0" w:color="auto"/>
              <w:left w:val="nil"/>
              <w:bottom w:val="single" w:sz="4" w:space="0" w:color="auto"/>
              <w:right w:val="nil"/>
            </w:tcBorders>
            <w:shd w:val="clear" w:color="auto" w:fill="auto"/>
            <w:noWrap/>
            <w:vAlign w:val="bottom"/>
            <w:hideMark/>
          </w:tcPr>
          <w:p w14:paraId="46FA7AA4" w14:textId="77777777" w:rsidR="003772FB" w:rsidRPr="003772FB" w:rsidRDefault="003772FB" w:rsidP="003772FB">
            <w:pPr>
              <w:spacing w:after="0" w:line="240" w:lineRule="auto"/>
              <w:jc w:val="center"/>
              <w:rPr>
                <w:rFonts w:eastAsia="Times New Roman"/>
                <w:b/>
                <w:bCs/>
                <w:color w:val="000000"/>
                <w:sz w:val="20"/>
                <w:szCs w:val="20"/>
              </w:rPr>
            </w:pPr>
            <w:r w:rsidRPr="003772FB">
              <w:rPr>
                <w:rFonts w:eastAsia="Times New Roman"/>
                <w:b/>
                <w:bCs/>
                <w:color w:val="000000"/>
                <w:sz w:val="20"/>
                <w:szCs w:val="20"/>
              </w:rPr>
              <w:t>Totals</w:t>
            </w:r>
          </w:p>
        </w:tc>
        <w:tc>
          <w:tcPr>
            <w:tcW w:w="403" w:type="dxa"/>
            <w:tcBorders>
              <w:top w:val="single" w:sz="4" w:space="0" w:color="auto"/>
              <w:left w:val="nil"/>
              <w:bottom w:val="single" w:sz="4" w:space="0" w:color="auto"/>
              <w:right w:val="nil"/>
            </w:tcBorders>
            <w:shd w:val="clear" w:color="auto" w:fill="auto"/>
            <w:noWrap/>
            <w:vAlign w:val="bottom"/>
            <w:hideMark/>
          </w:tcPr>
          <w:p w14:paraId="123FB5C1" w14:textId="77777777" w:rsidR="003772FB" w:rsidRPr="003772FB" w:rsidRDefault="003772FB" w:rsidP="003772FB">
            <w:pPr>
              <w:spacing w:after="0" w:line="240" w:lineRule="auto"/>
              <w:jc w:val="center"/>
              <w:rPr>
                <w:rFonts w:eastAsia="Times New Roman"/>
                <w:b/>
                <w:bCs/>
                <w:color w:val="000000"/>
                <w:sz w:val="20"/>
                <w:szCs w:val="20"/>
              </w:rPr>
            </w:pPr>
            <w:r w:rsidRPr="003772FB">
              <w:rPr>
                <w:rFonts w:eastAsia="Times New Roman"/>
                <w:b/>
                <w:bCs/>
                <w:color w:val="000000"/>
                <w:sz w:val="20"/>
                <w:szCs w:val="20"/>
              </w:rPr>
              <w:t>5</w:t>
            </w:r>
          </w:p>
        </w:tc>
        <w:tc>
          <w:tcPr>
            <w:tcW w:w="663" w:type="dxa"/>
            <w:tcBorders>
              <w:top w:val="single" w:sz="4" w:space="0" w:color="auto"/>
              <w:left w:val="nil"/>
              <w:bottom w:val="single" w:sz="4" w:space="0" w:color="auto"/>
              <w:right w:val="nil"/>
            </w:tcBorders>
            <w:shd w:val="clear" w:color="auto" w:fill="auto"/>
            <w:noWrap/>
            <w:vAlign w:val="bottom"/>
            <w:hideMark/>
          </w:tcPr>
          <w:p w14:paraId="312C6E3A" w14:textId="77777777" w:rsidR="003772FB" w:rsidRPr="003772FB" w:rsidRDefault="003772FB" w:rsidP="003772FB">
            <w:pPr>
              <w:spacing w:after="0" w:line="240" w:lineRule="auto"/>
              <w:jc w:val="center"/>
              <w:rPr>
                <w:rFonts w:eastAsia="Times New Roman"/>
                <w:b/>
                <w:bCs/>
                <w:color w:val="000000"/>
                <w:sz w:val="20"/>
                <w:szCs w:val="20"/>
              </w:rPr>
            </w:pPr>
            <w:r w:rsidRPr="003772FB">
              <w:rPr>
                <w:rFonts w:eastAsia="Times New Roman"/>
                <w:b/>
                <w:bCs/>
                <w:color w:val="000000"/>
                <w:sz w:val="20"/>
                <w:szCs w:val="20"/>
              </w:rPr>
              <w:t>20</w:t>
            </w:r>
          </w:p>
        </w:tc>
        <w:tc>
          <w:tcPr>
            <w:tcW w:w="663" w:type="dxa"/>
            <w:tcBorders>
              <w:top w:val="single" w:sz="4" w:space="0" w:color="auto"/>
              <w:left w:val="nil"/>
              <w:bottom w:val="single" w:sz="4" w:space="0" w:color="auto"/>
              <w:right w:val="nil"/>
            </w:tcBorders>
            <w:shd w:val="clear" w:color="auto" w:fill="auto"/>
            <w:noWrap/>
            <w:vAlign w:val="bottom"/>
            <w:hideMark/>
          </w:tcPr>
          <w:p w14:paraId="108D7AFE" w14:textId="77777777" w:rsidR="003772FB" w:rsidRPr="003772FB" w:rsidRDefault="003772FB" w:rsidP="003772FB">
            <w:pPr>
              <w:spacing w:after="0" w:line="240" w:lineRule="auto"/>
              <w:jc w:val="center"/>
              <w:rPr>
                <w:rFonts w:eastAsia="Times New Roman"/>
                <w:b/>
                <w:bCs/>
                <w:color w:val="000000"/>
                <w:sz w:val="20"/>
                <w:szCs w:val="20"/>
              </w:rPr>
            </w:pPr>
            <w:r w:rsidRPr="003772FB">
              <w:rPr>
                <w:rFonts w:eastAsia="Times New Roman"/>
                <w:b/>
                <w:bCs/>
                <w:color w:val="000000"/>
                <w:sz w:val="20"/>
                <w:szCs w:val="20"/>
              </w:rPr>
              <w:t>20</w:t>
            </w:r>
          </w:p>
        </w:tc>
        <w:tc>
          <w:tcPr>
            <w:tcW w:w="616" w:type="dxa"/>
            <w:tcBorders>
              <w:top w:val="single" w:sz="4" w:space="0" w:color="auto"/>
              <w:left w:val="nil"/>
              <w:bottom w:val="single" w:sz="4" w:space="0" w:color="auto"/>
              <w:right w:val="nil"/>
            </w:tcBorders>
            <w:shd w:val="clear" w:color="auto" w:fill="auto"/>
            <w:noWrap/>
            <w:vAlign w:val="bottom"/>
            <w:hideMark/>
          </w:tcPr>
          <w:p w14:paraId="1EB42689" w14:textId="77777777" w:rsidR="003772FB" w:rsidRPr="003772FB" w:rsidRDefault="003772FB" w:rsidP="003772FB">
            <w:pPr>
              <w:spacing w:after="0" w:line="240" w:lineRule="auto"/>
              <w:jc w:val="center"/>
              <w:rPr>
                <w:rFonts w:eastAsia="Times New Roman"/>
                <w:b/>
                <w:bCs/>
                <w:color w:val="000000"/>
                <w:sz w:val="20"/>
                <w:szCs w:val="20"/>
              </w:rPr>
            </w:pPr>
            <w:r w:rsidRPr="003772FB">
              <w:rPr>
                <w:rFonts w:eastAsia="Times New Roman"/>
                <w:b/>
                <w:bCs/>
                <w:color w:val="000000"/>
                <w:sz w:val="20"/>
                <w:szCs w:val="20"/>
              </w:rPr>
              <w:t>1130</w:t>
            </w:r>
          </w:p>
        </w:tc>
        <w:tc>
          <w:tcPr>
            <w:tcW w:w="1476" w:type="dxa"/>
            <w:tcBorders>
              <w:top w:val="single" w:sz="4" w:space="0" w:color="auto"/>
              <w:left w:val="nil"/>
              <w:bottom w:val="single" w:sz="4" w:space="0" w:color="auto"/>
              <w:right w:val="nil"/>
            </w:tcBorders>
            <w:shd w:val="clear" w:color="auto" w:fill="auto"/>
            <w:noWrap/>
            <w:vAlign w:val="bottom"/>
            <w:hideMark/>
          </w:tcPr>
          <w:p w14:paraId="00371B75" w14:textId="77777777" w:rsidR="003772FB" w:rsidRPr="003772FB" w:rsidRDefault="003772FB" w:rsidP="003772FB">
            <w:pPr>
              <w:spacing w:after="0" w:line="240" w:lineRule="auto"/>
              <w:jc w:val="center"/>
              <w:rPr>
                <w:rFonts w:eastAsia="Times New Roman"/>
                <w:b/>
                <w:bCs/>
                <w:color w:val="000000"/>
                <w:sz w:val="20"/>
                <w:szCs w:val="20"/>
              </w:rPr>
            </w:pPr>
            <w:r w:rsidRPr="003772FB">
              <w:rPr>
                <w:rFonts w:eastAsia="Times New Roman"/>
                <w:b/>
                <w:bCs/>
                <w:color w:val="000000"/>
                <w:sz w:val="20"/>
                <w:szCs w:val="20"/>
              </w:rPr>
              <w:t>91%</w:t>
            </w:r>
          </w:p>
        </w:tc>
        <w:tc>
          <w:tcPr>
            <w:tcW w:w="822" w:type="dxa"/>
            <w:tcBorders>
              <w:top w:val="single" w:sz="4" w:space="0" w:color="auto"/>
              <w:left w:val="nil"/>
              <w:bottom w:val="single" w:sz="4" w:space="0" w:color="auto"/>
              <w:right w:val="nil"/>
            </w:tcBorders>
            <w:shd w:val="clear" w:color="auto" w:fill="auto"/>
            <w:noWrap/>
            <w:vAlign w:val="bottom"/>
            <w:hideMark/>
          </w:tcPr>
          <w:p w14:paraId="5D250822" w14:textId="77777777" w:rsidR="003772FB" w:rsidRPr="003772FB" w:rsidRDefault="00CD62B1" w:rsidP="003772FB">
            <w:pPr>
              <w:spacing w:after="0" w:line="240" w:lineRule="auto"/>
              <w:jc w:val="center"/>
              <w:rPr>
                <w:rFonts w:eastAsia="Times New Roman"/>
                <w:b/>
                <w:bCs/>
                <w:color w:val="000000"/>
                <w:sz w:val="20"/>
                <w:szCs w:val="20"/>
              </w:rPr>
            </w:pPr>
            <w:r>
              <w:rPr>
                <w:rFonts w:eastAsia="Times New Roman"/>
                <w:b/>
                <w:bCs/>
                <w:color w:val="000000"/>
                <w:sz w:val="20"/>
                <w:szCs w:val="20"/>
              </w:rPr>
              <w:t>6</w:t>
            </w:r>
            <w:r w:rsidR="003772FB" w:rsidRPr="003772FB">
              <w:rPr>
                <w:rFonts w:eastAsia="Times New Roman"/>
                <w:b/>
                <w:bCs/>
                <w:color w:val="000000"/>
                <w:sz w:val="20"/>
                <w:szCs w:val="20"/>
              </w:rPr>
              <w:t>%</w:t>
            </w:r>
          </w:p>
        </w:tc>
        <w:tc>
          <w:tcPr>
            <w:tcW w:w="712" w:type="dxa"/>
            <w:tcBorders>
              <w:top w:val="single" w:sz="4" w:space="0" w:color="auto"/>
              <w:left w:val="nil"/>
              <w:bottom w:val="single" w:sz="4" w:space="0" w:color="auto"/>
              <w:right w:val="nil"/>
            </w:tcBorders>
            <w:shd w:val="clear" w:color="auto" w:fill="auto"/>
            <w:noWrap/>
            <w:vAlign w:val="bottom"/>
            <w:hideMark/>
          </w:tcPr>
          <w:p w14:paraId="70B5D5C5" w14:textId="77777777" w:rsidR="003772FB" w:rsidRPr="003772FB" w:rsidRDefault="00986F4E" w:rsidP="003772FB">
            <w:pPr>
              <w:spacing w:after="0" w:line="240" w:lineRule="auto"/>
              <w:jc w:val="center"/>
              <w:rPr>
                <w:rFonts w:eastAsia="Times New Roman"/>
                <w:b/>
                <w:bCs/>
                <w:color w:val="000000"/>
                <w:sz w:val="20"/>
                <w:szCs w:val="20"/>
              </w:rPr>
            </w:pPr>
            <w:r>
              <w:rPr>
                <w:rFonts w:eastAsia="Times New Roman"/>
                <w:b/>
                <w:bCs/>
                <w:color w:val="000000"/>
                <w:sz w:val="20"/>
                <w:szCs w:val="20"/>
              </w:rPr>
              <w:t>17</w:t>
            </w:r>
            <w:r w:rsidR="003772FB" w:rsidRPr="003772FB">
              <w:rPr>
                <w:rFonts w:eastAsia="Times New Roman"/>
                <w:b/>
                <w:bCs/>
                <w:color w:val="000000"/>
                <w:sz w:val="20"/>
                <w:szCs w:val="20"/>
              </w:rPr>
              <w:t>%</w:t>
            </w:r>
          </w:p>
        </w:tc>
        <w:tc>
          <w:tcPr>
            <w:tcW w:w="712" w:type="dxa"/>
            <w:tcBorders>
              <w:top w:val="single" w:sz="4" w:space="0" w:color="auto"/>
              <w:left w:val="nil"/>
              <w:bottom w:val="single" w:sz="4" w:space="0" w:color="auto"/>
              <w:right w:val="nil"/>
            </w:tcBorders>
            <w:shd w:val="clear" w:color="auto" w:fill="auto"/>
            <w:noWrap/>
            <w:vAlign w:val="bottom"/>
            <w:hideMark/>
          </w:tcPr>
          <w:p w14:paraId="0AD6D17E" w14:textId="77777777" w:rsidR="003772FB" w:rsidRPr="003772FB" w:rsidRDefault="00986F4E" w:rsidP="003772FB">
            <w:pPr>
              <w:spacing w:after="0" w:line="240" w:lineRule="auto"/>
              <w:jc w:val="center"/>
              <w:rPr>
                <w:rFonts w:eastAsia="Times New Roman"/>
                <w:b/>
                <w:bCs/>
                <w:color w:val="000000"/>
                <w:sz w:val="20"/>
                <w:szCs w:val="20"/>
              </w:rPr>
            </w:pPr>
            <w:r>
              <w:rPr>
                <w:rFonts w:eastAsia="Times New Roman"/>
                <w:b/>
                <w:bCs/>
                <w:color w:val="000000"/>
                <w:sz w:val="20"/>
                <w:szCs w:val="20"/>
              </w:rPr>
              <w:t>20</w:t>
            </w:r>
            <w:r w:rsidR="003772FB" w:rsidRPr="003772FB">
              <w:rPr>
                <w:rFonts w:eastAsia="Times New Roman"/>
                <w:b/>
                <w:bCs/>
                <w:color w:val="000000"/>
                <w:sz w:val="20"/>
                <w:szCs w:val="20"/>
              </w:rPr>
              <w:t>%</w:t>
            </w:r>
          </w:p>
        </w:tc>
        <w:tc>
          <w:tcPr>
            <w:tcW w:w="3003" w:type="dxa"/>
            <w:tcBorders>
              <w:top w:val="single" w:sz="4" w:space="0" w:color="auto"/>
              <w:left w:val="nil"/>
              <w:bottom w:val="single" w:sz="4" w:space="0" w:color="auto"/>
              <w:right w:val="nil"/>
            </w:tcBorders>
            <w:shd w:val="clear" w:color="auto" w:fill="auto"/>
            <w:noWrap/>
            <w:vAlign w:val="bottom"/>
            <w:hideMark/>
          </w:tcPr>
          <w:p w14:paraId="6E2F8A0A" w14:textId="77777777" w:rsidR="003772FB" w:rsidRPr="003772FB" w:rsidRDefault="003772FB" w:rsidP="003772FB">
            <w:pPr>
              <w:spacing w:after="0" w:line="240" w:lineRule="auto"/>
              <w:rPr>
                <w:rFonts w:eastAsia="Times New Roman"/>
                <w:color w:val="000000"/>
                <w:sz w:val="20"/>
                <w:szCs w:val="20"/>
              </w:rPr>
            </w:pPr>
            <w:r w:rsidRPr="003772FB">
              <w:rPr>
                <w:rFonts w:eastAsia="Times New Roman"/>
                <w:color w:val="000000"/>
                <w:sz w:val="20"/>
                <w:szCs w:val="20"/>
              </w:rPr>
              <w:t> </w:t>
            </w:r>
          </w:p>
        </w:tc>
      </w:tr>
    </w:tbl>
    <w:p w14:paraId="26A615E8" w14:textId="77777777" w:rsidR="00F67133" w:rsidRDefault="003772FB" w:rsidP="00705AD1">
      <w:r>
        <w:t xml:space="preserve">A total of </w:t>
      </w:r>
      <w:r w:rsidR="00BC706A">
        <w:t>4</w:t>
      </w:r>
      <w:r>
        <w:t xml:space="preserve">5 RWAs </w:t>
      </w:r>
      <w:r w:rsidR="003D4836">
        <w:t xml:space="preserve">were </w:t>
      </w:r>
      <w:r>
        <w:t>administered</w:t>
      </w:r>
      <w:r w:rsidR="003D4836">
        <w:t xml:space="preserve"> </w:t>
      </w:r>
      <w:r w:rsidR="00806D37">
        <w:t xml:space="preserve">across </w:t>
      </w:r>
      <w:r w:rsidR="003D4836">
        <w:t>the appropriate Standard</w:t>
      </w:r>
      <w:r w:rsidR="00806D37">
        <w:t>s</w:t>
      </w:r>
      <w:r w:rsidR="003D4836">
        <w:t xml:space="preserve"> and Stage</w:t>
      </w:r>
      <w:r w:rsidR="00806D37">
        <w:t>s</w:t>
      </w:r>
      <w:r w:rsidR="003D4836">
        <w:t>.</w:t>
      </w:r>
      <w:r w:rsidR="00806D37">
        <w:t xml:space="preserve">  Proficient results, including those </w:t>
      </w:r>
      <w:r w:rsidR="00CB03A3">
        <w:t>that</w:t>
      </w:r>
      <w:r w:rsidR="00806D37">
        <w:t xml:space="preserve"> scored Exemplary, are calculated for all three stages</w:t>
      </w:r>
      <w:r w:rsidR="00772C22">
        <w:t xml:space="preserve">, </w:t>
      </w:r>
      <w:r w:rsidR="00806D37">
        <w:t>disaggregated</w:t>
      </w:r>
      <w:r w:rsidR="00772C22">
        <w:t>,</w:t>
      </w:r>
      <w:r w:rsidR="00806D37">
        <w:t xml:space="preserve"> </w:t>
      </w:r>
      <w:r w:rsidR="00E84745">
        <w:t>and</w:t>
      </w:r>
      <w:r w:rsidR="00806D37">
        <w:t xml:space="preserve"> presented in bold for each Standard.  As can be seen, there is a great deal of consistency among very respectable scores for each of the Standards.  The</w:t>
      </w:r>
      <w:r w:rsidR="00772C22">
        <w:t xml:space="preserve"> RWA</w:t>
      </w:r>
      <w:r w:rsidR="00806D37">
        <w:t xml:space="preserve"> range</w:t>
      </w:r>
      <w:r w:rsidR="00772C22">
        <w:t xml:space="preserve"> of Exemplary/Profi</w:t>
      </w:r>
      <w:r w:rsidR="00705AD1">
        <w:t>cient scores for all Stages is 87</w:t>
      </w:r>
      <w:r w:rsidR="00806D37">
        <w:t>% to</w:t>
      </w:r>
      <w:r w:rsidR="00705AD1">
        <w:t xml:space="preserve"> a high of </w:t>
      </w:r>
      <w:r w:rsidR="00806D37">
        <w:t>95% with the average score being 91% over all 10 InTASC Standards.  The RWA assessment is so broad and so well utilized, it is very good to find all 10</w:t>
      </w:r>
      <w:r w:rsidR="00CB03A3">
        <w:t xml:space="preserve"> InTASC</w:t>
      </w:r>
      <w:r w:rsidR="00806D37">
        <w:t xml:space="preserve"> Standards both well represented and evenly distributed on this assessment. </w:t>
      </w:r>
      <w:r w:rsidR="00705AD1">
        <w:t xml:space="preserve"> The final information shows the change in percentages of Exemplary for the final RWA assessments in each Stage.  Stage I had an average of 6% of Exemplary responses over the five standards covered in TEP 1; Stage II made a nice gain to 17%; and Stage III to</w:t>
      </w:r>
      <w:r w:rsidR="001144C5">
        <w:t>p</w:t>
      </w:r>
      <w:r w:rsidR="00705AD1">
        <w:t xml:space="preserve">ped it off at 20%.  </w:t>
      </w:r>
      <w:r w:rsidR="00F67133">
        <w:br w:type="page"/>
      </w:r>
    </w:p>
    <w:p w14:paraId="4CA31BAE" w14:textId="77777777" w:rsidR="0015625E" w:rsidRDefault="00772C22" w:rsidP="00440C1A">
      <w:r>
        <w:lastRenderedPageBreak/>
        <w:t xml:space="preserve">However, </w:t>
      </w:r>
      <w:r w:rsidR="0015625E">
        <w:t xml:space="preserve">while TEP 3 made a good gain in Exemplary responses going from final RWA assessments in Stage II to Stage III, </w:t>
      </w:r>
      <w:r>
        <w:t xml:space="preserve">it is notable that the TEP 3 or </w:t>
      </w:r>
      <w:r w:rsidR="00F67133">
        <w:t>Stage III</w:t>
      </w:r>
      <w:r>
        <w:t xml:space="preserve"> </w:t>
      </w:r>
      <w:r w:rsidR="0015625E">
        <w:t>gain in Exemplary responses, there was a 2% increase in the TEP 3 Developing responses compared to TEP 2</w:t>
      </w:r>
      <w:r w:rsidR="00F208AA">
        <w:t xml:space="preserve">.  </w:t>
      </w:r>
      <w:r w:rsidR="0015625E">
        <w:t xml:space="preserve">The same phenomenon is present if both </w:t>
      </w:r>
      <w:r w:rsidR="007C2506">
        <w:t xml:space="preserve">administrations of RWA </w:t>
      </w:r>
      <w:r w:rsidR="0015625E">
        <w:t xml:space="preserve">assessments are taken into account for Stage </w:t>
      </w:r>
      <w:r w:rsidR="007C2506">
        <w:t>I</w:t>
      </w:r>
      <w:r w:rsidR="0015625E">
        <w:t>I and Stage I</w:t>
      </w:r>
      <w:r w:rsidR="007C2506">
        <w:t>I</w:t>
      </w:r>
      <w:r w:rsidR="0015625E">
        <w:t>I</w:t>
      </w:r>
      <w:r w:rsidR="007C2506">
        <w:t>, that is, there is a 3% gain in Exemplarily responses from TEP 2 to TEP 3 but also an additional 2% of responses were added to the Developing level.</w:t>
      </w:r>
    </w:p>
    <w:p w14:paraId="2869B71B" w14:textId="77777777" w:rsidR="00806D37" w:rsidRDefault="008E1592" w:rsidP="00440C1A">
      <w:r>
        <w:t>Clearly many candidates are doing very well on the TEP 3 RWA assessments so the problem to address is how to increase the Proficiency level and simultaneous</w:t>
      </w:r>
      <w:r w:rsidR="0015625E">
        <w:t>ly</w:t>
      </w:r>
      <w:r>
        <w:t xml:space="preserve"> reduce the Developing qualifier.  </w:t>
      </w:r>
      <w:r w:rsidR="00F208AA">
        <w:t xml:space="preserve">Given the </w:t>
      </w:r>
      <w:r w:rsidR="007C2506">
        <w:t xml:space="preserve">TEP 2 and </w:t>
      </w:r>
      <w:r w:rsidR="00F208AA">
        <w:t xml:space="preserve">TEP 3 </w:t>
      </w:r>
      <w:r>
        <w:t xml:space="preserve">Exemplary/Proficient </w:t>
      </w:r>
      <w:r w:rsidR="00F208AA">
        <w:t>scores are so consistent</w:t>
      </w:r>
      <w:r w:rsidR="007C2506">
        <w:t xml:space="preserve"> both between Stages, but also with each Stage, it is very likely </w:t>
      </w:r>
      <w:r w:rsidR="00F208AA">
        <w:t xml:space="preserve">the </w:t>
      </w:r>
      <w:r w:rsidR="007C2506">
        <w:t xml:space="preserve">tendency to have more Developing responses as the Stages progress </w:t>
      </w:r>
      <w:r w:rsidR="00F208AA">
        <w:t>will likely have a common cause and be readily addressed.</w:t>
      </w:r>
      <w:r w:rsidR="00EE2521">
        <w:t xml:space="preserve"> </w:t>
      </w:r>
      <w:r>
        <w:t xml:space="preserve"> </w:t>
      </w:r>
    </w:p>
    <w:p w14:paraId="7AA258ED" w14:textId="77777777" w:rsidR="008E1592" w:rsidRDefault="008E1592" w:rsidP="00440C1A">
      <w:r>
        <w:t>The philosophy papers show a similar pattern.  The Exemplary only</w:t>
      </w:r>
      <w:r w:rsidR="00E92D49">
        <w:t xml:space="preserve"> InTASC 2.1 philosophy </w:t>
      </w:r>
      <w:r>
        <w:t>scores</w:t>
      </w:r>
      <w:r w:rsidR="00E92D49">
        <w:t xml:space="preserve"> were 0% while the</w:t>
      </w:r>
      <w:r w:rsidR="007C2506">
        <w:t xml:space="preserve"> philosophy </w:t>
      </w:r>
      <w:r w:rsidR="00E92D49">
        <w:t>InTASC 3.1 Exemplary scores rose to</w:t>
      </w:r>
      <w:r w:rsidR="007C2506">
        <w:t xml:space="preserve"> a very substantial</w:t>
      </w:r>
      <w:r w:rsidR="00E92D49">
        <w:t xml:space="preserve"> 28%!  </w:t>
      </w:r>
      <w:proofErr w:type="gramStart"/>
      <w:r w:rsidR="00E92D49">
        <w:t>Unfortunately</w:t>
      </w:r>
      <w:proofErr w:type="gramEnd"/>
      <w:r w:rsidR="00E92D49">
        <w:t xml:space="preserve"> the increase in Exemplary scores was </w:t>
      </w:r>
      <w:r w:rsidR="007C2506">
        <w:t xml:space="preserve">also </w:t>
      </w:r>
      <w:r w:rsidR="00E92D49">
        <w:t>accompanied by an increase from 4% to 16% in Developing</w:t>
      </w:r>
      <w:r w:rsidR="007C2506">
        <w:t xml:space="preserve"> level of responses</w:t>
      </w:r>
      <w:r w:rsidR="00E92D49">
        <w:t xml:space="preserve">.    </w:t>
      </w:r>
    </w:p>
    <w:p w14:paraId="413A7F4C" w14:textId="77777777" w:rsidR="000C4FFF" w:rsidRDefault="000C4FFF" w:rsidP="00440C1A">
      <w:r>
        <w:t xml:space="preserve">The RWA and Philosophy Papers are two of the 46 categories created by the Division </w:t>
      </w:r>
      <w:r w:rsidR="007C2506">
        <w:t xml:space="preserve">Preparation </w:t>
      </w:r>
      <w:r>
        <w:t>Program.  Most of the</w:t>
      </w:r>
      <w:r w:rsidR="00BC706A">
        <w:t xml:space="preserve"> assessments </w:t>
      </w:r>
      <w:r>
        <w:t xml:space="preserve">do not have multiple </w:t>
      </w:r>
      <w:r w:rsidR="007C2506">
        <w:t xml:space="preserve">administrations throughout the </w:t>
      </w:r>
      <w:r>
        <w:t>stages for comparison of scores as the student/candidate progresses through the Program.  An</w:t>
      </w:r>
      <w:r w:rsidR="00C324C6">
        <w:t>other</w:t>
      </w:r>
      <w:r>
        <w:t xml:space="preserve"> example</w:t>
      </w:r>
      <w:r w:rsidR="00C324C6">
        <w:t xml:space="preserve"> of one assessment </w:t>
      </w:r>
      <w:r>
        <w:t>that</w:t>
      </w:r>
      <w:r w:rsidR="0098048A">
        <w:t xml:space="preserve"> does assess </w:t>
      </w:r>
      <w:r w:rsidR="00C761DD">
        <w:t>a common</w:t>
      </w:r>
      <w:r w:rsidR="0098048A">
        <w:t xml:space="preserve"> standard (InTASC 4) in both TEP 2 and TEP 3</w:t>
      </w:r>
      <w:r w:rsidR="00C324C6">
        <w:t xml:space="preserve"> but is not hampered with increasing Developing responses as the Program </w:t>
      </w:r>
      <w:r w:rsidR="001144C5">
        <w:t>progresses</w:t>
      </w:r>
      <w:r w:rsidR="0098048A">
        <w:t xml:space="preserve"> is the Integrated Unit Plan</w:t>
      </w:r>
      <w:r w:rsidR="00C324C6">
        <w:t xml:space="preserve">.  </w:t>
      </w:r>
      <w:r w:rsidR="0098048A">
        <w:t>In the case of the Integrated Unit Plan, the InTASC 2.4 scores for Exemplary, Proficient, and Developing are 0%, 96%, and 4% respectively.  The InTASC 3.4 scores for the Integrated Unit Plan are 40%, 60%, and 0% respectively for Exemplary, Proficient, and Developing.  In this case as well as other</w:t>
      </w:r>
      <w:r w:rsidR="00C97119">
        <w:t xml:space="preserve"> categories</w:t>
      </w:r>
      <w:r w:rsidR="0098048A">
        <w:t xml:space="preserve"> similarly situated, the most current TEP Exemplary </w:t>
      </w:r>
      <w:r w:rsidR="00C97119">
        <w:t>percentage (40%) is</w:t>
      </w:r>
      <w:r w:rsidR="0098048A">
        <w:t xml:space="preserve"> substantially higher than the previous TEP</w:t>
      </w:r>
      <w:r w:rsidR="00C97119">
        <w:t xml:space="preserve"> Exemplary</w:t>
      </w:r>
      <w:r w:rsidR="0098048A">
        <w:t xml:space="preserve"> </w:t>
      </w:r>
      <w:r w:rsidR="00C97119">
        <w:t>percentage (0%) while the Developing percentages</w:t>
      </w:r>
      <w:r w:rsidR="00C324C6">
        <w:t xml:space="preserve"> will occasionally</w:t>
      </w:r>
      <w:r w:rsidR="00C97119">
        <w:t xml:space="preserve"> have the opposite relationship.</w:t>
      </w:r>
    </w:p>
    <w:p w14:paraId="7C32628B" w14:textId="77777777" w:rsidR="0055006C" w:rsidRDefault="0055006C" w:rsidP="002910B0">
      <w:pPr>
        <w:pStyle w:val="Heading2"/>
      </w:pPr>
      <w:bookmarkStart w:id="29" w:name="_Toc493221892"/>
      <w:r>
        <w:t xml:space="preserve">MACK </w:t>
      </w:r>
      <w:r w:rsidR="00C340BC">
        <w:t>s</w:t>
      </w:r>
      <w:r>
        <w:t>cores</w:t>
      </w:r>
      <w:r w:rsidR="00C340BC">
        <w:t>.</w:t>
      </w:r>
      <w:bookmarkEnd w:id="29"/>
    </w:p>
    <w:p w14:paraId="33FB69D4" w14:textId="77777777" w:rsidR="00676B1D" w:rsidRDefault="0055006C" w:rsidP="00676B1D">
      <w:r>
        <w:t xml:space="preserve">As previously noted, the </w:t>
      </w:r>
      <w:r w:rsidR="00676B1D">
        <w:t>MACK</w:t>
      </w:r>
      <w:r>
        <w:t xml:space="preserve"> scores</w:t>
      </w:r>
      <w:r w:rsidR="00676B1D">
        <w:t xml:space="preserve"> a</w:t>
      </w:r>
      <w:r w:rsidR="002337E5">
        <w:t>ss</w:t>
      </w:r>
      <w:r w:rsidR="00676B1D">
        <w:t>ess content knowledge by utilizing three</w:t>
      </w:r>
      <w:r>
        <w:t xml:space="preserve"> scores, </w:t>
      </w:r>
      <w:r w:rsidR="00676B1D">
        <w:t xml:space="preserve">i.e., </w:t>
      </w:r>
      <w:r>
        <w:t>the TEP GPA, the Montana Student Teaching Assessment (MSTA) scores, and the Praxis II scores.</w:t>
      </w:r>
      <w:r w:rsidR="00473746">
        <w:t xml:space="preserve"> This particular form of assessment has been in use since 2013 as a means to identify Highly Qualified Teachers in Montana as well as maintain a </w:t>
      </w:r>
      <w:r w:rsidR="00473746" w:rsidRPr="00971716">
        <w:t>common teacher education program throughout</w:t>
      </w:r>
      <w:r w:rsidR="00473746">
        <w:t xml:space="preserve"> the state.  MACK scores range from 0 to 1</w:t>
      </w:r>
      <w:r w:rsidR="00DC6621">
        <w:t>2</w:t>
      </w:r>
      <w:r w:rsidR="00473746">
        <w:t xml:space="preserve">, with 7 or more points required for recommendation for licensure.  </w:t>
      </w:r>
    </w:p>
    <w:p w14:paraId="4F17C341" w14:textId="77777777" w:rsidR="002337E5" w:rsidRPr="00473746" w:rsidRDefault="00F67133">
      <w:pPr>
        <w:spacing w:before="0" w:after="200"/>
        <w:rPr>
          <w:rFonts w:eastAsiaTheme="majorEastAsia" w:cstheme="majorBidi"/>
          <w:b/>
          <w:bCs/>
          <w:i/>
          <w:sz w:val="26"/>
          <w:szCs w:val="26"/>
        </w:rPr>
      </w:pPr>
      <w:r>
        <w:t xml:space="preserve">The following six pages cover the elements of the MACK scores and how the MACK score is calculated.  </w:t>
      </w:r>
      <w:r w:rsidR="002337E5" w:rsidRPr="00473746">
        <w:rPr>
          <w:i/>
        </w:rPr>
        <w:br w:type="page"/>
      </w:r>
    </w:p>
    <w:p w14:paraId="5DAA7B43" w14:textId="77777777" w:rsidR="00B753DA" w:rsidRPr="00B753DA" w:rsidRDefault="00AA2CC3" w:rsidP="00E755E4">
      <w:pPr>
        <w:pStyle w:val="Heading3"/>
      </w:pPr>
      <w:r>
        <w:lastRenderedPageBreak/>
        <w:tab/>
        <w:t xml:space="preserve"> </w:t>
      </w:r>
      <w:bookmarkStart w:id="30" w:name="_Toc493221893"/>
      <w:r w:rsidR="00B753DA">
        <w:t>TEP GPA</w:t>
      </w:r>
      <w:r w:rsidR="00C340BC">
        <w:t>.</w:t>
      </w:r>
      <w:bookmarkEnd w:id="30"/>
    </w:p>
    <w:tbl>
      <w:tblPr>
        <w:tblpPr w:leftFromText="180" w:rightFromText="180" w:vertAnchor="text" w:horzAnchor="margin" w:tblpXSpec="right" w:tblpY="569"/>
        <w:tblW w:w="4962" w:type="dxa"/>
        <w:tblLook w:val="04A0" w:firstRow="1" w:lastRow="0" w:firstColumn="1" w:lastColumn="0" w:noHBand="0" w:noVBand="1"/>
      </w:tblPr>
      <w:tblGrid>
        <w:gridCol w:w="1482"/>
        <w:gridCol w:w="1160"/>
        <w:gridCol w:w="1160"/>
        <w:gridCol w:w="1160"/>
      </w:tblGrid>
      <w:tr w:rsidR="00676B1D" w:rsidRPr="00766DF8" w14:paraId="09C5A542" w14:textId="77777777" w:rsidTr="00676B1D">
        <w:trPr>
          <w:trHeight w:val="285"/>
        </w:trPr>
        <w:tc>
          <w:tcPr>
            <w:tcW w:w="4962" w:type="dxa"/>
            <w:gridSpan w:val="4"/>
            <w:tcBorders>
              <w:top w:val="single" w:sz="4" w:space="0" w:color="auto"/>
              <w:left w:val="nil"/>
              <w:bottom w:val="single" w:sz="4" w:space="0" w:color="auto"/>
              <w:right w:val="nil"/>
            </w:tcBorders>
            <w:shd w:val="clear" w:color="auto" w:fill="auto"/>
            <w:noWrap/>
            <w:vAlign w:val="bottom"/>
            <w:hideMark/>
          </w:tcPr>
          <w:p w14:paraId="7047B3B2" w14:textId="77777777" w:rsidR="00676B1D" w:rsidRPr="00DD0440" w:rsidRDefault="00676B1D" w:rsidP="00676B1D">
            <w:pPr>
              <w:pStyle w:val="Caption"/>
              <w:rPr>
                <w:rFonts w:eastAsia="Times New Roman"/>
                <w:bCs w:val="0"/>
                <w:color w:val="000000"/>
                <w:sz w:val="26"/>
                <w:szCs w:val="26"/>
              </w:rPr>
            </w:pPr>
            <w:bookmarkStart w:id="31" w:name="_Toc492828032"/>
            <w:r w:rsidRPr="00DD0440">
              <w:rPr>
                <w:color w:val="auto"/>
                <w:sz w:val="26"/>
                <w:szCs w:val="26"/>
              </w:rPr>
              <w:t xml:space="preserve">Table </w:t>
            </w:r>
            <w:r w:rsidRPr="00DD0440">
              <w:rPr>
                <w:color w:val="auto"/>
                <w:sz w:val="26"/>
                <w:szCs w:val="26"/>
              </w:rPr>
              <w:fldChar w:fldCharType="begin"/>
            </w:r>
            <w:r w:rsidRPr="00DD0440">
              <w:rPr>
                <w:color w:val="auto"/>
                <w:sz w:val="26"/>
                <w:szCs w:val="26"/>
              </w:rPr>
              <w:instrText xml:space="preserve"> SEQ Table \* ARABIC </w:instrText>
            </w:r>
            <w:r w:rsidRPr="00DD0440">
              <w:rPr>
                <w:color w:val="auto"/>
                <w:sz w:val="26"/>
                <w:szCs w:val="26"/>
              </w:rPr>
              <w:fldChar w:fldCharType="separate"/>
            </w:r>
            <w:r w:rsidR="0010294F">
              <w:rPr>
                <w:noProof/>
                <w:color w:val="auto"/>
                <w:sz w:val="26"/>
                <w:szCs w:val="26"/>
              </w:rPr>
              <w:t>10</w:t>
            </w:r>
            <w:r w:rsidRPr="00DD0440">
              <w:rPr>
                <w:color w:val="auto"/>
                <w:sz w:val="26"/>
                <w:szCs w:val="26"/>
              </w:rPr>
              <w:fldChar w:fldCharType="end"/>
            </w:r>
            <w:r w:rsidRPr="00DD0440">
              <w:rPr>
                <w:rFonts w:eastAsia="Times New Roman"/>
                <w:bCs w:val="0"/>
                <w:color w:val="auto"/>
                <w:sz w:val="26"/>
                <w:szCs w:val="26"/>
              </w:rPr>
              <w:t xml:space="preserve">: </w:t>
            </w:r>
            <w:r w:rsidRPr="00DD0440">
              <w:rPr>
                <w:rFonts w:eastAsia="Times New Roman"/>
                <w:bCs w:val="0"/>
                <w:color w:val="auto"/>
                <w:sz w:val="24"/>
                <w:szCs w:val="24"/>
              </w:rPr>
              <w:t>TEP GPAs</w:t>
            </w:r>
            <w:r w:rsidRPr="00DD0440">
              <w:rPr>
                <w:rFonts w:eastAsia="Times New Roman"/>
                <w:bCs w:val="0"/>
                <w:color w:val="auto"/>
                <w:sz w:val="26"/>
                <w:szCs w:val="26"/>
              </w:rPr>
              <w:t xml:space="preserve"> by Average and 4.0s</w:t>
            </w:r>
            <w:bookmarkEnd w:id="31"/>
          </w:p>
        </w:tc>
      </w:tr>
      <w:tr w:rsidR="00676B1D" w:rsidRPr="00766DF8" w14:paraId="6F066A0D" w14:textId="77777777" w:rsidTr="00676B1D">
        <w:trPr>
          <w:trHeight w:val="240"/>
        </w:trPr>
        <w:tc>
          <w:tcPr>
            <w:tcW w:w="1482" w:type="dxa"/>
            <w:tcBorders>
              <w:top w:val="nil"/>
              <w:left w:val="nil"/>
              <w:bottom w:val="nil"/>
              <w:right w:val="nil"/>
            </w:tcBorders>
            <w:shd w:val="clear" w:color="auto" w:fill="auto"/>
            <w:noWrap/>
            <w:vAlign w:val="bottom"/>
            <w:hideMark/>
          </w:tcPr>
          <w:p w14:paraId="7E619689" w14:textId="77777777" w:rsidR="00676B1D" w:rsidRPr="00766DF8" w:rsidRDefault="00676B1D" w:rsidP="00676B1D">
            <w:pPr>
              <w:spacing w:after="0" w:line="240" w:lineRule="auto"/>
              <w:rPr>
                <w:rFonts w:eastAsia="Times New Roman"/>
                <w:color w:val="000000"/>
                <w:sz w:val="18"/>
                <w:szCs w:val="18"/>
              </w:rPr>
            </w:pPr>
          </w:p>
        </w:tc>
        <w:tc>
          <w:tcPr>
            <w:tcW w:w="1160" w:type="dxa"/>
            <w:tcBorders>
              <w:top w:val="nil"/>
              <w:left w:val="nil"/>
              <w:bottom w:val="nil"/>
              <w:right w:val="nil"/>
            </w:tcBorders>
            <w:shd w:val="clear" w:color="auto" w:fill="auto"/>
            <w:noWrap/>
            <w:vAlign w:val="bottom"/>
            <w:hideMark/>
          </w:tcPr>
          <w:p w14:paraId="00D90381" w14:textId="77777777" w:rsidR="00676B1D" w:rsidRPr="00766DF8" w:rsidRDefault="00676B1D" w:rsidP="00676B1D">
            <w:pPr>
              <w:spacing w:after="0" w:line="240" w:lineRule="auto"/>
              <w:rPr>
                <w:rFonts w:eastAsia="Times New Roman"/>
                <w:color w:val="000000"/>
                <w:sz w:val="18"/>
                <w:szCs w:val="18"/>
              </w:rPr>
            </w:pPr>
          </w:p>
        </w:tc>
        <w:tc>
          <w:tcPr>
            <w:tcW w:w="1160" w:type="dxa"/>
            <w:tcBorders>
              <w:top w:val="nil"/>
              <w:left w:val="nil"/>
              <w:bottom w:val="nil"/>
              <w:right w:val="nil"/>
            </w:tcBorders>
            <w:shd w:val="clear" w:color="auto" w:fill="auto"/>
            <w:noWrap/>
            <w:vAlign w:val="bottom"/>
            <w:hideMark/>
          </w:tcPr>
          <w:p w14:paraId="2068178C" w14:textId="77777777" w:rsidR="00676B1D" w:rsidRPr="00766DF8" w:rsidRDefault="00676B1D" w:rsidP="00676B1D">
            <w:pPr>
              <w:spacing w:after="0" w:line="240" w:lineRule="auto"/>
              <w:rPr>
                <w:rFonts w:eastAsia="Times New Roman"/>
                <w:color w:val="000000"/>
                <w:sz w:val="18"/>
                <w:szCs w:val="18"/>
              </w:rPr>
            </w:pPr>
          </w:p>
        </w:tc>
        <w:tc>
          <w:tcPr>
            <w:tcW w:w="1160" w:type="dxa"/>
            <w:tcBorders>
              <w:top w:val="nil"/>
              <w:left w:val="nil"/>
              <w:bottom w:val="nil"/>
              <w:right w:val="nil"/>
            </w:tcBorders>
            <w:shd w:val="clear" w:color="auto" w:fill="auto"/>
            <w:noWrap/>
            <w:vAlign w:val="bottom"/>
            <w:hideMark/>
          </w:tcPr>
          <w:p w14:paraId="545C2BBA" w14:textId="77777777" w:rsidR="00676B1D" w:rsidRPr="00766DF8" w:rsidRDefault="00676B1D" w:rsidP="00676B1D">
            <w:pPr>
              <w:spacing w:after="0" w:line="240" w:lineRule="auto"/>
              <w:rPr>
                <w:rFonts w:eastAsia="Times New Roman"/>
                <w:color w:val="000000"/>
                <w:sz w:val="18"/>
                <w:szCs w:val="18"/>
              </w:rPr>
            </w:pPr>
          </w:p>
        </w:tc>
      </w:tr>
      <w:tr w:rsidR="00676B1D" w:rsidRPr="00766DF8" w14:paraId="2CE9E25D" w14:textId="77777777" w:rsidTr="00676B1D">
        <w:trPr>
          <w:trHeight w:val="255"/>
        </w:trPr>
        <w:tc>
          <w:tcPr>
            <w:tcW w:w="1482" w:type="dxa"/>
            <w:tcBorders>
              <w:top w:val="single" w:sz="4" w:space="0" w:color="auto"/>
              <w:left w:val="nil"/>
              <w:bottom w:val="single" w:sz="4" w:space="0" w:color="auto"/>
              <w:right w:val="nil"/>
            </w:tcBorders>
            <w:shd w:val="clear" w:color="auto" w:fill="auto"/>
            <w:noWrap/>
            <w:vAlign w:val="bottom"/>
            <w:hideMark/>
          </w:tcPr>
          <w:p w14:paraId="641F7765" w14:textId="77777777" w:rsidR="00676B1D" w:rsidRPr="00766DF8" w:rsidRDefault="00676B1D" w:rsidP="00676B1D">
            <w:pPr>
              <w:spacing w:after="0" w:line="240" w:lineRule="auto"/>
              <w:jc w:val="center"/>
              <w:rPr>
                <w:rFonts w:eastAsia="Times New Roman"/>
                <w:b/>
                <w:bCs/>
                <w:color w:val="000000"/>
                <w:sz w:val="20"/>
                <w:szCs w:val="20"/>
              </w:rPr>
            </w:pPr>
            <w:r>
              <w:rPr>
                <w:noProof/>
                <w:color w:val="0000FF"/>
              </w:rPr>
              <w:drawing>
                <wp:inline distT="0" distB="0" distL="0" distR="0" wp14:anchorId="4670A038" wp14:editId="69BF6A05">
                  <wp:extent cx="495300" cy="276130"/>
                  <wp:effectExtent l="0" t="0" r="0" b="0"/>
                  <wp:docPr id="5" name="irc_mi" descr="Image result for skc college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kc college logo">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842" cy="279777"/>
                          </a:xfrm>
                          <a:prstGeom prst="rect">
                            <a:avLst/>
                          </a:prstGeom>
                          <a:noFill/>
                          <a:ln>
                            <a:noFill/>
                          </a:ln>
                        </pic:spPr>
                      </pic:pic>
                    </a:graphicData>
                  </a:graphic>
                </wp:inline>
              </w:drawing>
            </w:r>
          </w:p>
        </w:tc>
        <w:tc>
          <w:tcPr>
            <w:tcW w:w="1160" w:type="dxa"/>
            <w:tcBorders>
              <w:top w:val="single" w:sz="4" w:space="0" w:color="auto"/>
              <w:left w:val="nil"/>
              <w:bottom w:val="single" w:sz="4" w:space="0" w:color="auto"/>
              <w:right w:val="nil"/>
            </w:tcBorders>
            <w:shd w:val="clear" w:color="auto" w:fill="auto"/>
            <w:noWrap/>
            <w:vAlign w:val="bottom"/>
            <w:hideMark/>
          </w:tcPr>
          <w:p w14:paraId="26345581"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TEP 1 GPA</w:t>
            </w:r>
          </w:p>
        </w:tc>
        <w:tc>
          <w:tcPr>
            <w:tcW w:w="1160" w:type="dxa"/>
            <w:tcBorders>
              <w:top w:val="single" w:sz="4" w:space="0" w:color="auto"/>
              <w:left w:val="nil"/>
              <w:bottom w:val="single" w:sz="4" w:space="0" w:color="auto"/>
              <w:right w:val="nil"/>
            </w:tcBorders>
            <w:shd w:val="clear" w:color="auto" w:fill="auto"/>
            <w:noWrap/>
            <w:vAlign w:val="bottom"/>
            <w:hideMark/>
          </w:tcPr>
          <w:p w14:paraId="40C0FA59"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TEP 2 GPA</w:t>
            </w:r>
          </w:p>
        </w:tc>
        <w:tc>
          <w:tcPr>
            <w:tcW w:w="1160" w:type="dxa"/>
            <w:tcBorders>
              <w:top w:val="single" w:sz="4" w:space="0" w:color="auto"/>
              <w:left w:val="nil"/>
              <w:bottom w:val="single" w:sz="4" w:space="0" w:color="auto"/>
              <w:right w:val="nil"/>
            </w:tcBorders>
            <w:shd w:val="clear" w:color="auto" w:fill="auto"/>
            <w:noWrap/>
            <w:vAlign w:val="bottom"/>
            <w:hideMark/>
          </w:tcPr>
          <w:p w14:paraId="465102EC"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TEP 3 GPA</w:t>
            </w:r>
          </w:p>
        </w:tc>
      </w:tr>
      <w:tr w:rsidR="00676B1D" w:rsidRPr="00766DF8" w14:paraId="5B2E5FF5" w14:textId="77777777" w:rsidTr="00676B1D">
        <w:trPr>
          <w:trHeight w:val="255"/>
        </w:trPr>
        <w:tc>
          <w:tcPr>
            <w:tcW w:w="1482" w:type="dxa"/>
            <w:tcBorders>
              <w:top w:val="nil"/>
              <w:left w:val="nil"/>
              <w:bottom w:val="nil"/>
              <w:right w:val="nil"/>
            </w:tcBorders>
            <w:shd w:val="clear" w:color="auto" w:fill="auto"/>
            <w:noWrap/>
            <w:vAlign w:val="bottom"/>
            <w:hideMark/>
          </w:tcPr>
          <w:p w14:paraId="239DE054" w14:textId="77777777" w:rsidR="00676B1D" w:rsidRPr="00766DF8" w:rsidRDefault="00676B1D" w:rsidP="00676B1D">
            <w:pPr>
              <w:spacing w:after="0" w:line="240" w:lineRule="auto"/>
              <w:jc w:val="right"/>
              <w:rPr>
                <w:rFonts w:eastAsia="Times New Roman"/>
                <w:b/>
                <w:bCs/>
                <w:color w:val="000000"/>
                <w:sz w:val="20"/>
                <w:szCs w:val="20"/>
              </w:rPr>
            </w:pPr>
            <w:r w:rsidRPr="00766DF8">
              <w:rPr>
                <w:rFonts w:eastAsia="Times New Roman"/>
                <w:b/>
                <w:bCs/>
                <w:color w:val="000000"/>
                <w:sz w:val="20"/>
                <w:szCs w:val="20"/>
              </w:rPr>
              <w:t>TEP Average</w:t>
            </w:r>
          </w:p>
        </w:tc>
        <w:tc>
          <w:tcPr>
            <w:tcW w:w="1160" w:type="dxa"/>
            <w:tcBorders>
              <w:top w:val="nil"/>
              <w:left w:val="nil"/>
              <w:bottom w:val="nil"/>
              <w:right w:val="nil"/>
            </w:tcBorders>
            <w:shd w:val="clear" w:color="auto" w:fill="auto"/>
            <w:noWrap/>
            <w:vAlign w:val="bottom"/>
            <w:hideMark/>
          </w:tcPr>
          <w:p w14:paraId="7AB3C87C"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3.33</w:t>
            </w:r>
          </w:p>
        </w:tc>
        <w:tc>
          <w:tcPr>
            <w:tcW w:w="1160" w:type="dxa"/>
            <w:tcBorders>
              <w:top w:val="nil"/>
              <w:left w:val="nil"/>
              <w:bottom w:val="nil"/>
              <w:right w:val="nil"/>
            </w:tcBorders>
            <w:shd w:val="clear" w:color="auto" w:fill="auto"/>
            <w:noWrap/>
            <w:vAlign w:val="bottom"/>
            <w:hideMark/>
          </w:tcPr>
          <w:p w14:paraId="5E1F324F"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3.48</w:t>
            </w:r>
          </w:p>
        </w:tc>
        <w:tc>
          <w:tcPr>
            <w:tcW w:w="1160" w:type="dxa"/>
            <w:tcBorders>
              <w:top w:val="nil"/>
              <w:left w:val="nil"/>
              <w:bottom w:val="nil"/>
              <w:right w:val="nil"/>
            </w:tcBorders>
            <w:shd w:val="clear" w:color="auto" w:fill="auto"/>
            <w:noWrap/>
            <w:vAlign w:val="bottom"/>
            <w:hideMark/>
          </w:tcPr>
          <w:p w14:paraId="6DD9E4E0"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3.52</w:t>
            </w:r>
          </w:p>
        </w:tc>
      </w:tr>
      <w:tr w:rsidR="00676B1D" w:rsidRPr="00766DF8" w14:paraId="428B150A" w14:textId="77777777" w:rsidTr="00676B1D">
        <w:trPr>
          <w:trHeight w:val="255"/>
        </w:trPr>
        <w:tc>
          <w:tcPr>
            <w:tcW w:w="1482" w:type="dxa"/>
            <w:tcBorders>
              <w:top w:val="nil"/>
              <w:left w:val="nil"/>
              <w:bottom w:val="nil"/>
              <w:right w:val="nil"/>
            </w:tcBorders>
            <w:shd w:val="clear" w:color="auto" w:fill="auto"/>
            <w:noWrap/>
            <w:vAlign w:val="bottom"/>
            <w:hideMark/>
          </w:tcPr>
          <w:p w14:paraId="1D241A24"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 of 4.0s</w:t>
            </w:r>
          </w:p>
        </w:tc>
        <w:tc>
          <w:tcPr>
            <w:tcW w:w="1160" w:type="dxa"/>
            <w:tcBorders>
              <w:top w:val="nil"/>
              <w:left w:val="nil"/>
              <w:bottom w:val="nil"/>
              <w:right w:val="nil"/>
            </w:tcBorders>
            <w:shd w:val="clear" w:color="auto" w:fill="auto"/>
            <w:noWrap/>
            <w:vAlign w:val="bottom"/>
            <w:hideMark/>
          </w:tcPr>
          <w:p w14:paraId="0D0B8C48"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11</w:t>
            </w:r>
          </w:p>
        </w:tc>
        <w:tc>
          <w:tcPr>
            <w:tcW w:w="1160" w:type="dxa"/>
            <w:tcBorders>
              <w:top w:val="nil"/>
              <w:left w:val="nil"/>
              <w:bottom w:val="nil"/>
              <w:right w:val="nil"/>
            </w:tcBorders>
            <w:shd w:val="clear" w:color="auto" w:fill="auto"/>
            <w:noWrap/>
            <w:vAlign w:val="bottom"/>
            <w:hideMark/>
          </w:tcPr>
          <w:p w14:paraId="0F115849"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6</w:t>
            </w:r>
          </w:p>
        </w:tc>
        <w:tc>
          <w:tcPr>
            <w:tcW w:w="1160" w:type="dxa"/>
            <w:tcBorders>
              <w:top w:val="nil"/>
              <w:left w:val="nil"/>
              <w:bottom w:val="nil"/>
              <w:right w:val="nil"/>
            </w:tcBorders>
            <w:shd w:val="clear" w:color="auto" w:fill="auto"/>
            <w:noWrap/>
            <w:vAlign w:val="bottom"/>
            <w:hideMark/>
          </w:tcPr>
          <w:p w14:paraId="2774AFDA"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2</w:t>
            </w:r>
          </w:p>
        </w:tc>
      </w:tr>
      <w:tr w:rsidR="00676B1D" w:rsidRPr="00766DF8" w14:paraId="5B31C6F8" w14:textId="77777777" w:rsidTr="00676B1D">
        <w:trPr>
          <w:trHeight w:val="255"/>
        </w:trPr>
        <w:tc>
          <w:tcPr>
            <w:tcW w:w="1482" w:type="dxa"/>
            <w:tcBorders>
              <w:top w:val="nil"/>
              <w:left w:val="nil"/>
              <w:bottom w:val="nil"/>
              <w:right w:val="nil"/>
            </w:tcBorders>
            <w:shd w:val="clear" w:color="auto" w:fill="auto"/>
            <w:noWrap/>
            <w:vAlign w:val="bottom"/>
            <w:hideMark/>
          </w:tcPr>
          <w:p w14:paraId="6CB2E81D" w14:textId="77777777" w:rsidR="00676B1D" w:rsidRPr="00766DF8" w:rsidRDefault="00676B1D" w:rsidP="00676B1D">
            <w:pPr>
              <w:spacing w:after="0" w:line="240" w:lineRule="auto"/>
              <w:jc w:val="right"/>
              <w:rPr>
                <w:rFonts w:eastAsia="Times New Roman"/>
                <w:b/>
                <w:bCs/>
                <w:color w:val="000000"/>
                <w:sz w:val="20"/>
                <w:szCs w:val="20"/>
              </w:rPr>
            </w:pPr>
            <w:r w:rsidRPr="00766DF8">
              <w:rPr>
                <w:rFonts w:eastAsia="Times New Roman"/>
                <w:b/>
                <w:bCs/>
                <w:color w:val="000000"/>
                <w:sz w:val="20"/>
                <w:szCs w:val="20"/>
              </w:rPr>
              <w:t>Percent w/4.0</w:t>
            </w:r>
          </w:p>
        </w:tc>
        <w:tc>
          <w:tcPr>
            <w:tcW w:w="1160" w:type="dxa"/>
            <w:tcBorders>
              <w:top w:val="nil"/>
              <w:left w:val="nil"/>
              <w:bottom w:val="nil"/>
              <w:right w:val="nil"/>
            </w:tcBorders>
            <w:shd w:val="clear" w:color="auto" w:fill="auto"/>
            <w:noWrap/>
            <w:vAlign w:val="bottom"/>
            <w:hideMark/>
          </w:tcPr>
          <w:p w14:paraId="267F8551"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16%</w:t>
            </w:r>
          </w:p>
        </w:tc>
        <w:tc>
          <w:tcPr>
            <w:tcW w:w="1160" w:type="dxa"/>
            <w:tcBorders>
              <w:top w:val="nil"/>
              <w:left w:val="nil"/>
              <w:bottom w:val="nil"/>
              <w:right w:val="nil"/>
            </w:tcBorders>
            <w:shd w:val="clear" w:color="auto" w:fill="auto"/>
            <w:noWrap/>
            <w:vAlign w:val="bottom"/>
            <w:hideMark/>
          </w:tcPr>
          <w:p w14:paraId="052A33BE"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14%</w:t>
            </w:r>
          </w:p>
        </w:tc>
        <w:tc>
          <w:tcPr>
            <w:tcW w:w="1160" w:type="dxa"/>
            <w:tcBorders>
              <w:top w:val="nil"/>
              <w:left w:val="nil"/>
              <w:bottom w:val="nil"/>
              <w:right w:val="nil"/>
            </w:tcBorders>
            <w:shd w:val="clear" w:color="auto" w:fill="auto"/>
            <w:noWrap/>
            <w:vAlign w:val="bottom"/>
            <w:hideMark/>
          </w:tcPr>
          <w:p w14:paraId="3F0FC628"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7%</w:t>
            </w:r>
          </w:p>
        </w:tc>
      </w:tr>
      <w:tr w:rsidR="00676B1D" w:rsidRPr="00766DF8" w14:paraId="0EE27635" w14:textId="77777777" w:rsidTr="00676B1D">
        <w:trPr>
          <w:trHeight w:val="255"/>
        </w:trPr>
        <w:tc>
          <w:tcPr>
            <w:tcW w:w="1482" w:type="dxa"/>
            <w:tcBorders>
              <w:top w:val="nil"/>
              <w:left w:val="nil"/>
              <w:bottom w:val="single" w:sz="4" w:space="0" w:color="auto"/>
              <w:right w:val="nil"/>
            </w:tcBorders>
            <w:shd w:val="clear" w:color="auto" w:fill="auto"/>
            <w:noWrap/>
            <w:vAlign w:val="bottom"/>
            <w:hideMark/>
          </w:tcPr>
          <w:p w14:paraId="1FAAFB27"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N</w:t>
            </w:r>
          </w:p>
        </w:tc>
        <w:tc>
          <w:tcPr>
            <w:tcW w:w="1160" w:type="dxa"/>
            <w:tcBorders>
              <w:top w:val="nil"/>
              <w:left w:val="nil"/>
              <w:bottom w:val="single" w:sz="4" w:space="0" w:color="auto"/>
              <w:right w:val="nil"/>
            </w:tcBorders>
            <w:shd w:val="clear" w:color="auto" w:fill="auto"/>
            <w:noWrap/>
            <w:vAlign w:val="bottom"/>
            <w:hideMark/>
          </w:tcPr>
          <w:p w14:paraId="7D71BF96"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69</w:t>
            </w:r>
          </w:p>
        </w:tc>
        <w:tc>
          <w:tcPr>
            <w:tcW w:w="1160" w:type="dxa"/>
            <w:tcBorders>
              <w:top w:val="nil"/>
              <w:left w:val="nil"/>
              <w:bottom w:val="single" w:sz="4" w:space="0" w:color="auto"/>
              <w:right w:val="nil"/>
            </w:tcBorders>
            <w:shd w:val="clear" w:color="auto" w:fill="auto"/>
            <w:noWrap/>
            <w:vAlign w:val="bottom"/>
            <w:hideMark/>
          </w:tcPr>
          <w:p w14:paraId="0FCFD515"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44</w:t>
            </w:r>
          </w:p>
        </w:tc>
        <w:tc>
          <w:tcPr>
            <w:tcW w:w="1160" w:type="dxa"/>
            <w:tcBorders>
              <w:top w:val="nil"/>
              <w:left w:val="nil"/>
              <w:bottom w:val="single" w:sz="4" w:space="0" w:color="auto"/>
              <w:right w:val="nil"/>
            </w:tcBorders>
            <w:shd w:val="clear" w:color="auto" w:fill="auto"/>
            <w:noWrap/>
            <w:vAlign w:val="bottom"/>
            <w:hideMark/>
          </w:tcPr>
          <w:p w14:paraId="332E3636" w14:textId="77777777" w:rsidR="00676B1D" w:rsidRPr="00766DF8" w:rsidRDefault="00676B1D" w:rsidP="00676B1D">
            <w:pPr>
              <w:spacing w:after="0" w:line="240" w:lineRule="auto"/>
              <w:jc w:val="center"/>
              <w:rPr>
                <w:rFonts w:eastAsia="Times New Roman"/>
                <w:b/>
                <w:bCs/>
                <w:color w:val="000000"/>
                <w:sz w:val="20"/>
                <w:szCs w:val="20"/>
              </w:rPr>
            </w:pPr>
            <w:r w:rsidRPr="00766DF8">
              <w:rPr>
                <w:rFonts w:eastAsia="Times New Roman"/>
                <w:b/>
                <w:bCs/>
                <w:color w:val="000000"/>
                <w:sz w:val="20"/>
                <w:szCs w:val="20"/>
              </w:rPr>
              <w:t>29</w:t>
            </w:r>
          </w:p>
        </w:tc>
      </w:tr>
    </w:tbl>
    <w:p w14:paraId="20DD98C3" w14:textId="77777777" w:rsidR="002E2A1E" w:rsidRPr="002E2A1E" w:rsidRDefault="00C97119" w:rsidP="002E2A1E">
      <w:pPr>
        <w:rPr>
          <w:color w:val="000000" w:themeColor="text1"/>
          <w:sz w:val="26"/>
          <w:szCs w:val="26"/>
        </w:rPr>
      </w:pPr>
      <w:r>
        <w:t xml:space="preserve">The Division of Education also calculates overall TEP </w:t>
      </w:r>
      <w:r w:rsidR="0013363E">
        <w:t xml:space="preserve">curricula GPA </w:t>
      </w:r>
      <w:r>
        <w:t>scores, which are presented in Table 10.</w:t>
      </w:r>
      <w:r w:rsidR="00FF37E0">
        <w:t xml:space="preserve">  As the program increased in expectations</w:t>
      </w:r>
      <w:r w:rsidR="0013363E">
        <w:t xml:space="preserve"> from </w:t>
      </w:r>
      <w:r w:rsidR="00F67133">
        <w:t>Stage I</w:t>
      </w:r>
      <w:r w:rsidR="0013363E">
        <w:t xml:space="preserve"> to </w:t>
      </w:r>
      <w:r w:rsidR="00F67133">
        <w:t>Stage II</w:t>
      </w:r>
      <w:r w:rsidR="0013363E">
        <w:t xml:space="preserve"> to </w:t>
      </w:r>
      <w:r w:rsidR="00F67133">
        <w:t>Stage III</w:t>
      </w:r>
      <w:r w:rsidR="00FF37E0">
        <w:t xml:space="preserve">, the students </w:t>
      </w:r>
      <w:r w:rsidR="0013363E">
        <w:t>and/</w:t>
      </w:r>
      <w:r w:rsidR="00FF37E0">
        <w:t xml:space="preserve">or candidates </w:t>
      </w:r>
      <w:r w:rsidR="0013363E">
        <w:t xml:space="preserve">responded with increased </w:t>
      </w:r>
      <w:r w:rsidR="00FF37E0">
        <w:t>GPAs.  Interestingly, the number of students</w:t>
      </w:r>
      <w:r w:rsidR="00C340BC">
        <w:t xml:space="preserve"> in TEP 1 </w:t>
      </w:r>
      <w:r w:rsidR="00FF37E0">
        <w:t xml:space="preserve">who </w:t>
      </w:r>
      <w:r w:rsidR="0013363E">
        <w:t>had earned GPAs of 4.0 declined from 16% to 14% to 7% as the program advanced</w:t>
      </w:r>
      <w:r w:rsidR="00C340BC">
        <w:t xml:space="preserve"> through each stage</w:t>
      </w:r>
      <w:r w:rsidR="0013363E">
        <w:t xml:space="preserve">, all the while the overall GPA average for each stage was increasing.  This would indicate the growth in GPA was a function of the majority of students increasing in GPA in order to offset the effect of fewer 4.0 GPAs and yet </w:t>
      </w:r>
      <w:r w:rsidR="00B753DA">
        <w:t>foster an increasing GPA.</w:t>
      </w:r>
    </w:p>
    <w:tbl>
      <w:tblPr>
        <w:tblpPr w:leftFromText="180" w:rightFromText="180" w:vertAnchor="text" w:horzAnchor="margin" w:tblpXSpec="right" w:tblpY="20"/>
        <w:tblW w:w="3542" w:type="dxa"/>
        <w:tblLook w:val="04A0" w:firstRow="1" w:lastRow="0" w:firstColumn="1" w:lastColumn="0" w:noHBand="0" w:noVBand="1"/>
      </w:tblPr>
      <w:tblGrid>
        <w:gridCol w:w="1272"/>
        <w:gridCol w:w="913"/>
        <w:gridCol w:w="1357"/>
      </w:tblGrid>
      <w:tr w:rsidR="002E2A1E" w:rsidRPr="002E2A1E" w14:paraId="02A6DC8F" w14:textId="77777777" w:rsidTr="002E2A1E">
        <w:trPr>
          <w:trHeight w:val="315"/>
        </w:trPr>
        <w:tc>
          <w:tcPr>
            <w:tcW w:w="3542" w:type="dxa"/>
            <w:gridSpan w:val="3"/>
            <w:tcBorders>
              <w:top w:val="single" w:sz="4" w:space="0" w:color="auto"/>
              <w:left w:val="nil"/>
              <w:bottom w:val="single" w:sz="4" w:space="0" w:color="auto"/>
              <w:right w:val="nil"/>
            </w:tcBorders>
            <w:shd w:val="clear" w:color="auto" w:fill="auto"/>
            <w:noWrap/>
            <w:vAlign w:val="bottom"/>
            <w:hideMark/>
          </w:tcPr>
          <w:p w14:paraId="703A2B95" w14:textId="77777777" w:rsidR="002E2A1E" w:rsidRPr="002E2A1E" w:rsidRDefault="002E2A1E" w:rsidP="002E2A1E">
            <w:pPr>
              <w:spacing w:before="0" w:after="0" w:line="240" w:lineRule="auto"/>
              <w:jc w:val="center"/>
              <w:rPr>
                <w:rFonts w:eastAsia="Times New Roman"/>
                <w:b/>
                <w:bCs/>
                <w:color w:val="000000"/>
                <w:szCs w:val="24"/>
              </w:rPr>
            </w:pPr>
            <w:bookmarkStart w:id="32" w:name="_Toc492828033"/>
            <w:r w:rsidRPr="002E2A1E">
              <w:rPr>
                <w:b/>
                <w:color w:val="000000" w:themeColor="text1"/>
                <w:szCs w:val="24"/>
              </w:rPr>
              <w:t xml:space="preserve">Table </w:t>
            </w:r>
            <w:r w:rsidRPr="002E2A1E">
              <w:rPr>
                <w:b/>
                <w:color w:val="000000" w:themeColor="text1"/>
                <w:szCs w:val="24"/>
              </w:rPr>
              <w:fldChar w:fldCharType="begin"/>
            </w:r>
            <w:r w:rsidRPr="002E2A1E">
              <w:rPr>
                <w:b/>
                <w:color w:val="000000" w:themeColor="text1"/>
                <w:szCs w:val="24"/>
              </w:rPr>
              <w:instrText xml:space="preserve"> SEQ Table \* ARABIC </w:instrText>
            </w:r>
            <w:r w:rsidRPr="002E2A1E">
              <w:rPr>
                <w:b/>
                <w:color w:val="000000" w:themeColor="text1"/>
                <w:szCs w:val="24"/>
              </w:rPr>
              <w:fldChar w:fldCharType="separate"/>
            </w:r>
            <w:r w:rsidR="0010294F">
              <w:rPr>
                <w:b/>
                <w:noProof/>
                <w:color w:val="000000" w:themeColor="text1"/>
                <w:szCs w:val="24"/>
              </w:rPr>
              <w:t>11</w:t>
            </w:r>
            <w:r w:rsidRPr="002E2A1E">
              <w:rPr>
                <w:b/>
                <w:color w:val="000000" w:themeColor="text1"/>
                <w:szCs w:val="24"/>
              </w:rPr>
              <w:fldChar w:fldCharType="end"/>
            </w:r>
            <w:r w:rsidRPr="002E2A1E">
              <w:rPr>
                <w:rFonts w:eastAsia="Times New Roman"/>
                <w:b/>
                <w:bCs/>
                <w:color w:val="000000"/>
                <w:szCs w:val="24"/>
              </w:rPr>
              <w:t>: MACK Scores</w:t>
            </w:r>
            <w:bookmarkEnd w:id="32"/>
          </w:p>
        </w:tc>
      </w:tr>
      <w:tr w:rsidR="002E2A1E" w:rsidRPr="002E2A1E" w14:paraId="2B67326B" w14:textId="77777777" w:rsidTr="002E2A1E">
        <w:trPr>
          <w:trHeight w:val="315"/>
        </w:trPr>
        <w:tc>
          <w:tcPr>
            <w:tcW w:w="1272" w:type="dxa"/>
            <w:tcBorders>
              <w:top w:val="nil"/>
              <w:left w:val="nil"/>
              <w:bottom w:val="nil"/>
              <w:right w:val="nil"/>
            </w:tcBorders>
            <w:shd w:val="clear" w:color="auto" w:fill="auto"/>
            <w:noWrap/>
            <w:vAlign w:val="center"/>
            <w:hideMark/>
          </w:tcPr>
          <w:p w14:paraId="5667FCF1" w14:textId="77777777" w:rsidR="002E2A1E" w:rsidRPr="002E2A1E" w:rsidRDefault="002E2A1E" w:rsidP="002E2A1E">
            <w:pPr>
              <w:spacing w:before="0" w:after="0" w:line="240" w:lineRule="auto"/>
              <w:jc w:val="center"/>
              <w:rPr>
                <w:rFonts w:eastAsia="Times New Roman"/>
                <w:b/>
                <w:bCs/>
                <w:color w:val="000000"/>
                <w:sz w:val="22"/>
              </w:rPr>
            </w:pPr>
            <w:r w:rsidRPr="002E2A1E">
              <w:rPr>
                <w:rFonts w:eastAsia="Times New Roman"/>
                <w:b/>
                <w:bCs/>
                <w:color w:val="000000"/>
                <w:sz w:val="22"/>
              </w:rPr>
              <w:t>TEP</w:t>
            </w:r>
          </w:p>
        </w:tc>
        <w:tc>
          <w:tcPr>
            <w:tcW w:w="913" w:type="dxa"/>
            <w:tcBorders>
              <w:top w:val="nil"/>
              <w:left w:val="nil"/>
              <w:bottom w:val="nil"/>
              <w:right w:val="nil"/>
            </w:tcBorders>
            <w:shd w:val="clear" w:color="auto" w:fill="auto"/>
            <w:noWrap/>
            <w:vAlign w:val="center"/>
            <w:hideMark/>
          </w:tcPr>
          <w:p w14:paraId="6E5F7CB9" w14:textId="77777777" w:rsidR="002E2A1E" w:rsidRPr="002E2A1E" w:rsidRDefault="002E2A1E" w:rsidP="002E2A1E">
            <w:pPr>
              <w:spacing w:before="0" w:after="0" w:line="240" w:lineRule="auto"/>
              <w:jc w:val="center"/>
              <w:rPr>
                <w:rFonts w:eastAsia="Times New Roman"/>
                <w:b/>
                <w:bCs/>
                <w:color w:val="000000"/>
                <w:sz w:val="22"/>
              </w:rPr>
            </w:pPr>
            <w:r w:rsidRPr="002E2A1E">
              <w:rPr>
                <w:rFonts w:eastAsia="Times New Roman"/>
                <w:b/>
                <w:bCs/>
                <w:color w:val="000000"/>
                <w:sz w:val="22"/>
              </w:rPr>
              <w:t>MACK</w:t>
            </w:r>
          </w:p>
        </w:tc>
        <w:tc>
          <w:tcPr>
            <w:tcW w:w="1357" w:type="dxa"/>
            <w:tcBorders>
              <w:top w:val="nil"/>
              <w:left w:val="nil"/>
              <w:bottom w:val="nil"/>
              <w:right w:val="nil"/>
            </w:tcBorders>
            <w:shd w:val="clear" w:color="auto" w:fill="auto"/>
            <w:noWrap/>
            <w:vAlign w:val="bottom"/>
            <w:hideMark/>
          </w:tcPr>
          <w:p w14:paraId="6040A783" w14:textId="77777777" w:rsidR="002E2A1E" w:rsidRPr="002E2A1E" w:rsidRDefault="002E2A1E" w:rsidP="002E2A1E">
            <w:pPr>
              <w:spacing w:before="0" w:after="0" w:line="240" w:lineRule="auto"/>
              <w:jc w:val="center"/>
              <w:rPr>
                <w:rFonts w:eastAsia="Times New Roman"/>
                <w:b/>
                <w:bCs/>
                <w:color w:val="000000"/>
                <w:sz w:val="22"/>
              </w:rPr>
            </w:pPr>
            <w:r w:rsidRPr="002E2A1E">
              <w:rPr>
                <w:rFonts w:eastAsia="Times New Roman"/>
                <w:b/>
                <w:bCs/>
                <w:color w:val="000000"/>
                <w:sz w:val="22"/>
              </w:rPr>
              <w:t xml:space="preserve">Percentage </w:t>
            </w:r>
          </w:p>
        </w:tc>
      </w:tr>
      <w:tr w:rsidR="002E2A1E" w:rsidRPr="002E2A1E" w14:paraId="09478B8C" w14:textId="77777777" w:rsidTr="002E2A1E">
        <w:trPr>
          <w:trHeight w:val="315"/>
        </w:trPr>
        <w:tc>
          <w:tcPr>
            <w:tcW w:w="1272" w:type="dxa"/>
            <w:tcBorders>
              <w:top w:val="nil"/>
              <w:left w:val="nil"/>
              <w:bottom w:val="single" w:sz="4" w:space="0" w:color="auto"/>
              <w:right w:val="nil"/>
            </w:tcBorders>
            <w:shd w:val="clear" w:color="auto" w:fill="auto"/>
            <w:vAlign w:val="center"/>
            <w:hideMark/>
          </w:tcPr>
          <w:p w14:paraId="310606F1" w14:textId="77777777" w:rsidR="002E2A1E" w:rsidRPr="002E2A1E" w:rsidRDefault="002E2A1E" w:rsidP="002E2A1E">
            <w:pPr>
              <w:spacing w:before="0" w:after="0" w:line="240" w:lineRule="auto"/>
              <w:jc w:val="center"/>
              <w:rPr>
                <w:rFonts w:eastAsia="Times New Roman"/>
                <w:b/>
                <w:bCs/>
                <w:i/>
                <w:iCs/>
                <w:color w:val="000000"/>
                <w:sz w:val="20"/>
                <w:szCs w:val="20"/>
              </w:rPr>
            </w:pPr>
            <w:r w:rsidRPr="002E2A1E">
              <w:rPr>
                <w:rFonts w:eastAsia="Times New Roman"/>
                <w:b/>
                <w:bCs/>
                <w:i/>
                <w:iCs/>
                <w:color w:val="000000"/>
                <w:sz w:val="20"/>
                <w:szCs w:val="20"/>
              </w:rPr>
              <w:t>GPA</w:t>
            </w:r>
          </w:p>
        </w:tc>
        <w:tc>
          <w:tcPr>
            <w:tcW w:w="913" w:type="dxa"/>
            <w:tcBorders>
              <w:top w:val="nil"/>
              <w:left w:val="nil"/>
              <w:bottom w:val="single" w:sz="4" w:space="0" w:color="auto"/>
              <w:right w:val="nil"/>
            </w:tcBorders>
            <w:shd w:val="clear" w:color="auto" w:fill="auto"/>
            <w:vAlign w:val="center"/>
            <w:hideMark/>
          </w:tcPr>
          <w:p w14:paraId="4F451DBF" w14:textId="77777777" w:rsidR="002E2A1E" w:rsidRPr="002E2A1E" w:rsidRDefault="002E2A1E" w:rsidP="002E2A1E">
            <w:pPr>
              <w:spacing w:before="0" w:after="0" w:line="240" w:lineRule="auto"/>
              <w:jc w:val="center"/>
              <w:rPr>
                <w:rFonts w:eastAsia="Times New Roman"/>
                <w:b/>
                <w:bCs/>
                <w:i/>
                <w:iCs/>
                <w:color w:val="000000"/>
                <w:sz w:val="20"/>
                <w:szCs w:val="20"/>
              </w:rPr>
            </w:pPr>
            <w:r w:rsidRPr="002E2A1E">
              <w:rPr>
                <w:rFonts w:eastAsia="Times New Roman"/>
                <w:b/>
                <w:bCs/>
                <w:i/>
                <w:iCs/>
                <w:color w:val="000000"/>
                <w:sz w:val="20"/>
                <w:szCs w:val="20"/>
              </w:rPr>
              <w:t>Points</w:t>
            </w:r>
          </w:p>
        </w:tc>
        <w:tc>
          <w:tcPr>
            <w:tcW w:w="1357" w:type="dxa"/>
            <w:tcBorders>
              <w:top w:val="nil"/>
              <w:left w:val="nil"/>
              <w:bottom w:val="single" w:sz="4" w:space="0" w:color="auto"/>
              <w:right w:val="nil"/>
            </w:tcBorders>
            <w:shd w:val="clear" w:color="auto" w:fill="auto"/>
            <w:noWrap/>
            <w:vAlign w:val="bottom"/>
            <w:hideMark/>
          </w:tcPr>
          <w:p w14:paraId="29930C31" w14:textId="77777777" w:rsidR="002E2A1E" w:rsidRPr="002E2A1E" w:rsidRDefault="002E2A1E" w:rsidP="002E2A1E">
            <w:pPr>
              <w:spacing w:before="0" w:after="0" w:line="240" w:lineRule="auto"/>
              <w:jc w:val="center"/>
              <w:rPr>
                <w:rFonts w:eastAsia="Times New Roman"/>
                <w:b/>
                <w:bCs/>
                <w:color w:val="000000"/>
                <w:sz w:val="22"/>
              </w:rPr>
            </w:pPr>
            <w:r w:rsidRPr="002E2A1E">
              <w:rPr>
                <w:rFonts w:eastAsia="Times New Roman"/>
                <w:b/>
                <w:bCs/>
                <w:color w:val="000000"/>
                <w:sz w:val="22"/>
              </w:rPr>
              <w:t>of Students</w:t>
            </w:r>
          </w:p>
        </w:tc>
      </w:tr>
      <w:tr w:rsidR="002E2A1E" w:rsidRPr="002E2A1E" w14:paraId="2AA45F42" w14:textId="77777777" w:rsidTr="002E2A1E">
        <w:trPr>
          <w:trHeight w:val="315"/>
        </w:trPr>
        <w:tc>
          <w:tcPr>
            <w:tcW w:w="1272" w:type="dxa"/>
            <w:tcBorders>
              <w:top w:val="nil"/>
              <w:left w:val="nil"/>
              <w:bottom w:val="nil"/>
              <w:right w:val="nil"/>
            </w:tcBorders>
            <w:shd w:val="clear" w:color="auto" w:fill="auto"/>
            <w:vAlign w:val="center"/>
            <w:hideMark/>
          </w:tcPr>
          <w:p w14:paraId="18C121E0" w14:textId="77777777" w:rsidR="002E2A1E" w:rsidRPr="002E2A1E" w:rsidRDefault="009368F8" w:rsidP="002E2A1E">
            <w:pPr>
              <w:spacing w:before="0" w:after="0" w:line="240" w:lineRule="auto"/>
              <w:rPr>
                <w:rFonts w:eastAsia="Times New Roman"/>
                <w:color w:val="000000"/>
                <w:sz w:val="20"/>
                <w:szCs w:val="20"/>
              </w:rPr>
            </w:pPr>
            <w:r>
              <w:rPr>
                <w:rFonts w:eastAsia="Times New Roman"/>
                <w:color w:val="000000"/>
                <w:sz w:val="20"/>
                <w:szCs w:val="20"/>
              </w:rPr>
              <w:t xml:space="preserve"> </w:t>
            </w:r>
            <w:r w:rsidR="002E2A1E" w:rsidRPr="002E2A1E">
              <w:rPr>
                <w:rFonts w:eastAsia="Times New Roman"/>
                <w:color w:val="000000"/>
                <w:sz w:val="20"/>
                <w:szCs w:val="20"/>
              </w:rPr>
              <w:t>3.50 – 4.00</w:t>
            </w:r>
          </w:p>
        </w:tc>
        <w:tc>
          <w:tcPr>
            <w:tcW w:w="913" w:type="dxa"/>
            <w:tcBorders>
              <w:top w:val="nil"/>
              <w:left w:val="nil"/>
              <w:bottom w:val="nil"/>
              <w:right w:val="nil"/>
            </w:tcBorders>
            <w:shd w:val="clear" w:color="auto" w:fill="auto"/>
            <w:vAlign w:val="center"/>
            <w:hideMark/>
          </w:tcPr>
          <w:p w14:paraId="443D41B3" w14:textId="77777777" w:rsidR="002E2A1E" w:rsidRPr="002E2A1E" w:rsidRDefault="002E2A1E" w:rsidP="002E2A1E">
            <w:pPr>
              <w:spacing w:before="0" w:after="0" w:line="240" w:lineRule="auto"/>
              <w:jc w:val="center"/>
              <w:rPr>
                <w:rFonts w:eastAsia="Times New Roman"/>
                <w:b/>
                <w:bCs/>
                <w:color w:val="000000"/>
                <w:sz w:val="20"/>
                <w:szCs w:val="20"/>
              </w:rPr>
            </w:pPr>
            <w:r w:rsidRPr="002E2A1E">
              <w:rPr>
                <w:rFonts w:eastAsia="Times New Roman"/>
                <w:b/>
                <w:bCs/>
                <w:color w:val="000000"/>
                <w:sz w:val="20"/>
                <w:szCs w:val="20"/>
              </w:rPr>
              <w:t>4</w:t>
            </w:r>
          </w:p>
        </w:tc>
        <w:tc>
          <w:tcPr>
            <w:tcW w:w="1357" w:type="dxa"/>
            <w:tcBorders>
              <w:top w:val="nil"/>
              <w:left w:val="nil"/>
              <w:bottom w:val="nil"/>
              <w:right w:val="nil"/>
            </w:tcBorders>
            <w:shd w:val="clear" w:color="auto" w:fill="auto"/>
            <w:noWrap/>
            <w:vAlign w:val="bottom"/>
            <w:hideMark/>
          </w:tcPr>
          <w:p w14:paraId="7D0E5A1F" w14:textId="77777777" w:rsidR="002E2A1E" w:rsidRPr="002E2A1E" w:rsidRDefault="002E2A1E" w:rsidP="002E2A1E">
            <w:pPr>
              <w:spacing w:before="0" w:after="0" w:line="240" w:lineRule="auto"/>
              <w:jc w:val="center"/>
              <w:rPr>
                <w:rFonts w:eastAsia="Times New Roman"/>
                <w:b/>
                <w:bCs/>
                <w:color w:val="000000"/>
                <w:sz w:val="22"/>
              </w:rPr>
            </w:pPr>
            <w:r w:rsidRPr="002E2A1E">
              <w:rPr>
                <w:rFonts w:eastAsia="Times New Roman"/>
                <w:b/>
                <w:bCs/>
                <w:color w:val="000000"/>
                <w:sz w:val="22"/>
              </w:rPr>
              <w:t>50%</w:t>
            </w:r>
          </w:p>
        </w:tc>
      </w:tr>
      <w:tr w:rsidR="002E2A1E" w:rsidRPr="002E2A1E" w14:paraId="16BA262C" w14:textId="77777777" w:rsidTr="002E2A1E">
        <w:trPr>
          <w:trHeight w:val="315"/>
        </w:trPr>
        <w:tc>
          <w:tcPr>
            <w:tcW w:w="1272" w:type="dxa"/>
            <w:tcBorders>
              <w:top w:val="nil"/>
              <w:left w:val="nil"/>
              <w:bottom w:val="nil"/>
              <w:right w:val="nil"/>
            </w:tcBorders>
            <w:shd w:val="clear" w:color="auto" w:fill="auto"/>
            <w:vAlign w:val="center"/>
            <w:hideMark/>
          </w:tcPr>
          <w:p w14:paraId="7EE73486" w14:textId="77777777" w:rsidR="002E2A1E" w:rsidRPr="002E2A1E" w:rsidRDefault="009368F8" w:rsidP="002E2A1E">
            <w:pPr>
              <w:spacing w:before="0" w:after="0" w:line="240" w:lineRule="auto"/>
              <w:rPr>
                <w:rFonts w:eastAsia="Times New Roman"/>
                <w:color w:val="000000"/>
                <w:sz w:val="20"/>
                <w:szCs w:val="20"/>
              </w:rPr>
            </w:pPr>
            <w:r>
              <w:rPr>
                <w:rFonts w:eastAsia="Times New Roman"/>
                <w:color w:val="000000"/>
                <w:sz w:val="20"/>
                <w:szCs w:val="20"/>
              </w:rPr>
              <w:t xml:space="preserve"> </w:t>
            </w:r>
            <w:r w:rsidR="002E2A1E" w:rsidRPr="002E2A1E">
              <w:rPr>
                <w:rFonts w:eastAsia="Times New Roman"/>
                <w:color w:val="000000"/>
                <w:sz w:val="20"/>
                <w:szCs w:val="20"/>
              </w:rPr>
              <w:t>3.00 – 3.49</w:t>
            </w:r>
          </w:p>
        </w:tc>
        <w:tc>
          <w:tcPr>
            <w:tcW w:w="913" w:type="dxa"/>
            <w:tcBorders>
              <w:top w:val="nil"/>
              <w:left w:val="nil"/>
              <w:bottom w:val="nil"/>
              <w:right w:val="nil"/>
            </w:tcBorders>
            <w:shd w:val="clear" w:color="auto" w:fill="auto"/>
            <w:vAlign w:val="center"/>
            <w:hideMark/>
          </w:tcPr>
          <w:p w14:paraId="06D6F8D0" w14:textId="77777777" w:rsidR="002E2A1E" w:rsidRPr="002E2A1E" w:rsidRDefault="002E2A1E" w:rsidP="002E2A1E">
            <w:pPr>
              <w:spacing w:before="0" w:after="0" w:line="240" w:lineRule="auto"/>
              <w:jc w:val="center"/>
              <w:rPr>
                <w:rFonts w:eastAsia="Times New Roman"/>
                <w:b/>
                <w:bCs/>
                <w:color w:val="000000"/>
                <w:sz w:val="20"/>
                <w:szCs w:val="20"/>
              </w:rPr>
            </w:pPr>
            <w:r w:rsidRPr="002E2A1E">
              <w:rPr>
                <w:rFonts w:eastAsia="Times New Roman"/>
                <w:b/>
                <w:bCs/>
                <w:color w:val="000000"/>
                <w:sz w:val="20"/>
                <w:szCs w:val="20"/>
              </w:rPr>
              <w:t>3</w:t>
            </w:r>
          </w:p>
        </w:tc>
        <w:tc>
          <w:tcPr>
            <w:tcW w:w="1357" w:type="dxa"/>
            <w:tcBorders>
              <w:top w:val="nil"/>
              <w:left w:val="nil"/>
              <w:bottom w:val="nil"/>
              <w:right w:val="nil"/>
            </w:tcBorders>
            <w:shd w:val="clear" w:color="auto" w:fill="auto"/>
            <w:noWrap/>
            <w:vAlign w:val="bottom"/>
            <w:hideMark/>
          </w:tcPr>
          <w:p w14:paraId="0013E80F" w14:textId="77777777" w:rsidR="002E2A1E" w:rsidRPr="002E2A1E" w:rsidRDefault="002E2A1E" w:rsidP="002E2A1E">
            <w:pPr>
              <w:spacing w:before="0" w:after="0" w:line="240" w:lineRule="auto"/>
              <w:jc w:val="center"/>
              <w:rPr>
                <w:rFonts w:eastAsia="Times New Roman"/>
                <w:b/>
                <w:bCs/>
                <w:color w:val="000000"/>
                <w:sz w:val="22"/>
              </w:rPr>
            </w:pPr>
            <w:r w:rsidRPr="002E2A1E">
              <w:rPr>
                <w:rFonts w:eastAsia="Times New Roman"/>
                <w:b/>
                <w:bCs/>
                <w:color w:val="000000"/>
                <w:sz w:val="22"/>
              </w:rPr>
              <w:t>36%</w:t>
            </w:r>
          </w:p>
        </w:tc>
      </w:tr>
      <w:tr w:rsidR="002E2A1E" w:rsidRPr="002E2A1E" w14:paraId="7DCDC686" w14:textId="77777777" w:rsidTr="002E2A1E">
        <w:trPr>
          <w:trHeight w:val="315"/>
        </w:trPr>
        <w:tc>
          <w:tcPr>
            <w:tcW w:w="1272" w:type="dxa"/>
            <w:tcBorders>
              <w:top w:val="nil"/>
              <w:left w:val="nil"/>
              <w:bottom w:val="nil"/>
              <w:right w:val="nil"/>
            </w:tcBorders>
            <w:shd w:val="clear" w:color="auto" w:fill="auto"/>
            <w:vAlign w:val="center"/>
            <w:hideMark/>
          </w:tcPr>
          <w:p w14:paraId="7E572B97" w14:textId="77777777" w:rsidR="002E2A1E" w:rsidRPr="002E2A1E" w:rsidRDefault="009368F8" w:rsidP="002E2A1E">
            <w:pPr>
              <w:spacing w:before="0" w:after="0" w:line="240" w:lineRule="auto"/>
              <w:rPr>
                <w:rFonts w:eastAsia="Times New Roman"/>
                <w:color w:val="000000"/>
                <w:sz w:val="20"/>
                <w:szCs w:val="20"/>
              </w:rPr>
            </w:pPr>
            <w:r>
              <w:rPr>
                <w:rFonts w:eastAsia="Times New Roman"/>
                <w:color w:val="000000"/>
                <w:sz w:val="20"/>
                <w:szCs w:val="20"/>
              </w:rPr>
              <w:t xml:space="preserve"> </w:t>
            </w:r>
            <w:r w:rsidR="002E2A1E" w:rsidRPr="002E2A1E">
              <w:rPr>
                <w:rFonts w:eastAsia="Times New Roman"/>
                <w:color w:val="000000"/>
                <w:sz w:val="20"/>
                <w:szCs w:val="20"/>
              </w:rPr>
              <w:t>2.65 – 2.99</w:t>
            </w:r>
          </w:p>
        </w:tc>
        <w:tc>
          <w:tcPr>
            <w:tcW w:w="913" w:type="dxa"/>
            <w:tcBorders>
              <w:top w:val="nil"/>
              <w:left w:val="nil"/>
              <w:bottom w:val="nil"/>
              <w:right w:val="nil"/>
            </w:tcBorders>
            <w:shd w:val="clear" w:color="auto" w:fill="auto"/>
            <w:vAlign w:val="center"/>
            <w:hideMark/>
          </w:tcPr>
          <w:p w14:paraId="713043E5" w14:textId="77777777" w:rsidR="002E2A1E" w:rsidRPr="002E2A1E" w:rsidRDefault="002E2A1E" w:rsidP="002E2A1E">
            <w:pPr>
              <w:spacing w:before="0" w:after="0" w:line="240" w:lineRule="auto"/>
              <w:jc w:val="center"/>
              <w:rPr>
                <w:rFonts w:eastAsia="Times New Roman"/>
                <w:b/>
                <w:bCs/>
                <w:color w:val="000000"/>
                <w:sz w:val="20"/>
                <w:szCs w:val="20"/>
              </w:rPr>
            </w:pPr>
            <w:r w:rsidRPr="002E2A1E">
              <w:rPr>
                <w:rFonts w:eastAsia="Times New Roman"/>
                <w:b/>
                <w:bCs/>
                <w:color w:val="000000"/>
                <w:sz w:val="20"/>
                <w:szCs w:val="20"/>
              </w:rPr>
              <w:t>2</w:t>
            </w:r>
          </w:p>
        </w:tc>
        <w:tc>
          <w:tcPr>
            <w:tcW w:w="1357" w:type="dxa"/>
            <w:tcBorders>
              <w:top w:val="nil"/>
              <w:left w:val="nil"/>
              <w:bottom w:val="nil"/>
              <w:right w:val="nil"/>
            </w:tcBorders>
            <w:shd w:val="clear" w:color="auto" w:fill="auto"/>
            <w:noWrap/>
            <w:vAlign w:val="bottom"/>
            <w:hideMark/>
          </w:tcPr>
          <w:p w14:paraId="63A9A28C" w14:textId="77777777" w:rsidR="002E2A1E" w:rsidRPr="002E2A1E" w:rsidRDefault="002E2A1E" w:rsidP="002E2A1E">
            <w:pPr>
              <w:spacing w:before="0" w:after="0" w:line="240" w:lineRule="auto"/>
              <w:jc w:val="center"/>
              <w:rPr>
                <w:rFonts w:eastAsia="Times New Roman"/>
                <w:b/>
                <w:bCs/>
                <w:color w:val="000000"/>
                <w:sz w:val="22"/>
              </w:rPr>
            </w:pPr>
            <w:r w:rsidRPr="002E2A1E">
              <w:rPr>
                <w:rFonts w:eastAsia="Times New Roman"/>
                <w:b/>
                <w:bCs/>
                <w:color w:val="000000"/>
                <w:sz w:val="22"/>
              </w:rPr>
              <w:t>11%</w:t>
            </w:r>
          </w:p>
        </w:tc>
      </w:tr>
      <w:tr w:rsidR="002E2A1E" w:rsidRPr="002E2A1E" w14:paraId="4A357B2D" w14:textId="77777777" w:rsidTr="002E2A1E">
        <w:trPr>
          <w:trHeight w:val="315"/>
        </w:trPr>
        <w:tc>
          <w:tcPr>
            <w:tcW w:w="1272" w:type="dxa"/>
            <w:tcBorders>
              <w:top w:val="nil"/>
              <w:left w:val="nil"/>
              <w:bottom w:val="nil"/>
              <w:right w:val="nil"/>
            </w:tcBorders>
            <w:shd w:val="clear" w:color="auto" w:fill="auto"/>
            <w:vAlign w:val="center"/>
            <w:hideMark/>
          </w:tcPr>
          <w:p w14:paraId="5A45F193" w14:textId="77777777" w:rsidR="002E2A1E" w:rsidRPr="002E2A1E" w:rsidRDefault="009368F8" w:rsidP="002E2A1E">
            <w:pPr>
              <w:spacing w:before="0" w:after="0" w:line="240" w:lineRule="auto"/>
              <w:rPr>
                <w:rFonts w:eastAsia="Times New Roman"/>
                <w:color w:val="000000"/>
                <w:sz w:val="20"/>
                <w:szCs w:val="20"/>
              </w:rPr>
            </w:pPr>
            <w:r>
              <w:rPr>
                <w:rFonts w:eastAsia="Times New Roman"/>
                <w:color w:val="000000"/>
                <w:sz w:val="20"/>
                <w:szCs w:val="20"/>
              </w:rPr>
              <w:t xml:space="preserve"> </w:t>
            </w:r>
            <w:r w:rsidR="002E2A1E" w:rsidRPr="002E2A1E">
              <w:rPr>
                <w:rFonts w:eastAsia="Times New Roman"/>
                <w:color w:val="000000"/>
                <w:sz w:val="20"/>
                <w:szCs w:val="20"/>
              </w:rPr>
              <w:t xml:space="preserve">2.00 – 2.64 </w:t>
            </w:r>
          </w:p>
        </w:tc>
        <w:tc>
          <w:tcPr>
            <w:tcW w:w="913" w:type="dxa"/>
            <w:tcBorders>
              <w:top w:val="nil"/>
              <w:left w:val="nil"/>
              <w:bottom w:val="nil"/>
              <w:right w:val="nil"/>
            </w:tcBorders>
            <w:shd w:val="clear" w:color="auto" w:fill="auto"/>
            <w:vAlign w:val="center"/>
            <w:hideMark/>
          </w:tcPr>
          <w:p w14:paraId="485167A6" w14:textId="77777777" w:rsidR="002E2A1E" w:rsidRPr="002E2A1E" w:rsidRDefault="002E2A1E" w:rsidP="002E2A1E">
            <w:pPr>
              <w:spacing w:before="0" w:after="0" w:line="240" w:lineRule="auto"/>
              <w:jc w:val="center"/>
              <w:rPr>
                <w:rFonts w:eastAsia="Times New Roman"/>
                <w:b/>
                <w:bCs/>
                <w:color w:val="000000"/>
                <w:sz w:val="20"/>
                <w:szCs w:val="20"/>
              </w:rPr>
            </w:pPr>
            <w:r w:rsidRPr="002E2A1E">
              <w:rPr>
                <w:rFonts w:eastAsia="Times New Roman"/>
                <w:b/>
                <w:bCs/>
                <w:color w:val="000000"/>
                <w:sz w:val="20"/>
                <w:szCs w:val="20"/>
              </w:rPr>
              <w:t>1</w:t>
            </w:r>
          </w:p>
        </w:tc>
        <w:tc>
          <w:tcPr>
            <w:tcW w:w="1357" w:type="dxa"/>
            <w:tcBorders>
              <w:top w:val="nil"/>
              <w:left w:val="nil"/>
              <w:bottom w:val="nil"/>
              <w:right w:val="nil"/>
            </w:tcBorders>
            <w:shd w:val="clear" w:color="auto" w:fill="auto"/>
            <w:noWrap/>
            <w:vAlign w:val="bottom"/>
            <w:hideMark/>
          </w:tcPr>
          <w:p w14:paraId="76021D93" w14:textId="77777777" w:rsidR="002E2A1E" w:rsidRPr="002E2A1E" w:rsidRDefault="002E2A1E" w:rsidP="002E2A1E">
            <w:pPr>
              <w:spacing w:before="0" w:after="0" w:line="240" w:lineRule="auto"/>
              <w:jc w:val="center"/>
              <w:rPr>
                <w:rFonts w:eastAsia="Times New Roman"/>
                <w:b/>
                <w:bCs/>
                <w:color w:val="000000"/>
                <w:sz w:val="22"/>
              </w:rPr>
            </w:pPr>
            <w:r w:rsidRPr="002E2A1E">
              <w:rPr>
                <w:rFonts w:eastAsia="Times New Roman"/>
                <w:b/>
                <w:bCs/>
                <w:color w:val="000000"/>
                <w:sz w:val="22"/>
              </w:rPr>
              <w:t>3%</w:t>
            </w:r>
          </w:p>
        </w:tc>
      </w:tr>
      <w:tr w:rsidR="002E2A1E" w:rsidRPr="002E2A1E" w14:paraId="47B97A60" w14:textId="77777777" w:rsidTr="002E2A1E">
        <w:trPr>
          <w:trHeight w:val="315"/>
        </w:trPr>
        <w:tc>
          <w:tcPr>
            <w:tcW w:w="1272" w:type="dxa"/>
            <w:tcBorders>
              <w:top w:val="nil"/>
              <w:left w:val="nil"/>
              <w:bottom w:val="single" w:sz="4" w:space="0" w:color="auto"/>
              <w:right w:val="nil"/>
            </w:tcBorders>
            <w:shd w:val="clear" w:color="auto" w:fill="auto"/>
            <w:vAlign w:val="center"/>
            <w:hideMark/>
          </w:tcPr>
          <w:p w14:paraId="00C3410C" w14:textId="77777777" w:rsidR="009368F8" w:rsidRPr="002E2A1E" w:rsidRDefault="009368F8" w:rsidP="002E2A1E">
            <w:pPr>
              <w:spacing w:before="0" w:after="0" w:line="240" w:lineRule="auto"/>
              <w:rPr>
                <w:rFonts w:eastAsia="Times New Roman"/>
                <w:color w:val="000000"/>
                <w:sz w:val="20"/>
                <w:szCs w:val="20"/>
              </w:rPr>
            </w:pPr>
            <w:r>
              <w:rPr>
                <w:rFonts w:eastAsia="Times New Roman"/>
                <w:color w:val="000000"/>
                <w:sz w:val="20"/>
                <w:szCs w:val="20"/>
              </w:rPr>
              <w:t xml:space="preserve"> Below 2.00</w:t>
            </w:r>
          </w:p>
        </w:tc>
        <w:tc>
          <w:tcPr>
            <w:tcW w:w="913" w:type="dxa"/>
            <w:tcBorders>
              <w:top w:val="nil"/>
              <w:left w:val="nil"/>
              <w:bottom w:val="single" w:sz="4" w:space="0" w:color="auto"/>
              <w:right w:val="nil"/>
            </w:tcBorders>
            <w:shd w:val="clear" w:color="auto" w:fill="auto"/>
            <w:vAlign w:val="center"/>
            <w:hideMark/>
          </w:tcPr>
          <w:p w14:paraId="5DA318B6" w14:textId="77777777" w:rsidR="002E2A1E" w:rsidRPr="002E2A1E" w:rsidRDefault="002E2A1E" w:rsidP="002E2A1E">
            <w:pPr>
              <w:spacing w:before="0" w:after="0" w:line="240" w:lineRule="auto"/>
              <w:jc w:val="center"/>
              <w:rPr>
                <w:rFonts w:eastAsia="Times New Roman"/>
                <w:b/>
                <w:bCs/>
                <w:color w:val="000000"/>
                <w:sz w:val="20"/>
                <w:szCs w:val="20"/>
              </w:rPr>
            </w:pPr>
            <w:r w:rsidRPr="002E2A1E">
              <w:rPr>
                <w:rFonts w:eastAsia="Times New Roman"/>
                <w:b/>
                <w:bCs/>
                <w:color w:val="000000"/>
                <w:sz w:val="20"/>
                <w:szCs w:val="20"/>
              </w:rPr>
              <w:t>0</w:t>
            </w:r>
          </w:p>
        </w:tc>
        <w:tc>
          <w:tcPr>
            <w:tcW w:w="1357" w:type="dxa"/>
            <w:tcBorders>
              <w:top w:val="nil"/>
              <w:left w:val="nil"/>
              <w:bottom w:val="single" w:sz="4" w:space="0" w:color="auto"/>
              <w:right w:val="nil"/>
            </w:tcBorders>
            <w:shd w:val="clear" w:color="auto" w:fill="auto"/>
            <w:noWrap/>
            <w:vAlign w:val="bottom"/>
            <w:hideMark/>
          </w:tcPr>
          <w:p w14:paraId="54F7F687" w14:textId="77777777" w:rsidR="002E2A1E" w:rsidRPr="002E2A1E" w:rsidRDefault="002E2A1E" w:rsidP="002E2A1E">
            <w:pPr>
              <w:spacing w:before="0" w:after="0" w:line="240" w:lineRule="auto"/>
              <w:jc w:val="center"/>
              <w:rPr>
                <w:rFonts w:eastAsia="Times New Roman"/>
                <w:b/>
                <w:bCs/>
                <w:color w:val="000000"/>
                <w:sz w:val="22"/>
              </w:rPr>
            </w:pPr>
            <w:r w:rsidRPr="002E2A1E">
              <w:rPr>
                <w:rFonts w:eastAsia="Times New Roman"/>
                <w:b/>
                <w:bCs/>
                <w:color w:val="000000"/>
                <w:sz w:val="22"/>
              </w:rPr>
              <w:t>0%</w:t>
            </w:r>
          </w:p>
        </w:tc>
      </w:tr>
    </w:tbl>
    <w:p w14:paraId="31988CD8" w14:textId="77777777" w:rsidR="006B23DC" w:rsidRDefault="002337E5" w:rsidP="00440C1A">
      <w:r>
        <w:t xml:space="preserve">The TEP GPA scores are then scaled </w:t>
      </w:r>
      <w:r w:rsidR="00C340BC">
        <w:t xml:space="preserve">from 0 to 4 </w:t>
      </w:r>
      <w:r>
        <w:t xml:space="preserve">according to the </w:t>
      </w:r>
      <w:r w:rsidR="002E2A1E">
        <w:t xml:space="preserve">rubric in Table 11, which also shows the percentage of students attaining each of the possible five scores.  </w:t>
      </w:r>
      <w:r w:rsidR="009368F8">
        <w:t>As can be noticed, half of the candidates having a MACK GPA score scored at least a GPA of 3.50 or higher GPA.  Once</w:t>
      </w:r>
      <w:r>
        <w:t xml:space="preserve"> this GPA score has been scaled, it is then used as one of three values to reach the final MACK score.</w:t>
      </w:r>
      <w:r w:rsidR="006B23DC">
        <w:t xml:space="preserve">  </w:t>
      </w:r>
    </w:p>
    <w:p w14:paraId="445FF763" w14:textId="77777777" w:rsidR="002337E5" w:rsidRDefault="002337E5" w:rsidP="00E755E4">
      <w:pPr>
        <w:pStyle w:val="Heading3"/>
      </w:pPr>
      <w:r>
        <w:t xml:space="preserve">      </w:t>
      </w:r>
      <w:bookmarkStart w:id="33" w:name="_Toc493221894"/>
      <w:r w:rsidR="00C340BC">
        <w:t>MSTA scores.</w:t>
      </w:r>
      <w:bookmarkEnd w:id="33"/>
    </w:p>
    <w:p w14:paraId="30A25E4B" w14:textId="77777777" w:rsidR="00D14E9C" w:rsidRDefault="002337E5" w:rsidP="00D14E9C">
      <w:pPr>
        <w:tabs>
          <w:tab w:val="center" w:pos="5256"/>
        </w:tabs>
      </w:pPr>
      <w:r>
        <w:t xml:space="preserve">The MSTA </w:t>
      </w:r>
      <w:r w:rsidR="00C340BC">
        <w:t>s</w:t>
      </w:r>
      <w:r>
        <w:t xml:space="preserve">cores </w:t>
      </w:r>
      <w:r w:rsidR="00C340BC">
        <w:t>are the second</w:t>
      </w:r>
      <w:r w:rsidR="00D14E9C">
        <w:t xml:space="preserve"> of three</w:t>
      </w:r>
      <w:r w:rsidR="00C340BC">
        <w:t xml:space="preserve"> value</w:t>
      </w:r>
      <w:r w:rsidR="00D14E9C">
        <w:t>s</w:t>
      </w:r>
      <w:r w:rsidR="00C340BC">
        <w:t xml:space="preserve"> used to calculate the MACK scores.  </w:t>
      </w:r>
      <w:r w:rsidR="00AA2CC3">
        <w:t>Th</w:t>
      </w:r>
      <w:r w:rsidR="00D568BB">
        <w:t xml:space="preserve">e MSTA scores range from 0 to 3 with the exception of research scores, which range from 0 to 12.  In order to equate research scores with the other scores, the 12 possible scores were collapsed into three scoring categories each having four levels.  That is, Exemplary was the sum of the scores in the 9. 10, 11, and 12 rating;, Proficient scores were the middle four ratings denoted by 5, 6, 7, and 8; and Developing data came from 1, 2, 3, and 4 response levels.  </w:t>
      </w:r>
      <w:r w:rsidR="00AA2CC3">
        <w:t xml:space="preserve">  </w:t>
      </w:r>
    </w:p>
    <w:p w14:paraId="6008281B" w14:textId="77777777" w:rsidR="00E755E4" w:rsidRPr="00E755E4" w:rsidRDefault="00E755E4" w:rsidP="00E755E4">
      <w:pPr>
        <w:tabs>
          <w:tab w:val="left" w:pos="450"/>
        </w:tabs>
        <w:rPr>
          <w:i/>
          <w:sz w:val="26"/>
          <w:szCs w:val="26"/>
        </w:rPr>
      </w:pPr>
      <w:r>
        <w:rPr>
          <w:i/>
          <w:sz w:val="26"/>
          <w:szCs w:val="26"/>
        </w:rPr>
        <w:tab/>
      </w:r>
      <w:r w:rsidRPr="00E755E4">
        <w:rPr>
          <w:i/>
          <w:sz w:val="26"/>
          <w:szCs w:val="26"/>
        </w:rPr>
        <w:t>Assessment of content knowledge observed during student teaching.</w:t>
      </w:r>
    </w:p>
    <w:p w14:paraId="33F76AE0" w14:textId="77777777" w:rsidR="00D14E9C" w:rsidRDefault="00D14E9C" w:rsidP="000600A1">
      <w:r>
        <w:t>The a</w:t>
      </w:r>
      <w:r w:rsidRPr="00CC0656">
        <w:t xml:space="preserve">ssessment of </w:t>
      </w:r>
      <w:r>
        <w:t>c</w:t>
      </w:r>
      <w:r w:rsidRPr="00CC0656">
        <w:t xml:space="preserve">ontent </w:t>
      </w:r>
      <w:r>
        <w:t>k</w:t>
      </w:r>
      <w:r w:rsidRPr="00CC0656">
        <w:t xml:space="preserve">nowledge </w:t>
      </w:r>
      <w:r>
        <w:t>d</w:t>
      </w:r>
      <w:r w:rsidRPr="00CC0656">
        <w:t xml:space="preserve">emonstrated during </w:t>
      </w:r>
      <w:r>
        <w:t>s</w:t>
      </w:r>
      <w:r w:rsidRPr="00CC0656">
        <w:t xml:space="preserve">tudent </w:t>
      </w:r>
      <w:r>
        <w:t>t</w:t>
      </w:r>
      <w:r w:rsidRPr="00CC0656">
        <w:t>eaching</w:t>
      </w:r>
      <w:r>
        <w:t xml:space="preserve"> (</w:t>
      </w:r>
      <w:r w:rsidRPr="00C41127">
        <w:rPr>
          <w:b/>
        </w:rPr>
        <w:t>MSTA</w:t>
      </w:r>
      <w:r>
        <w:t xml:space="preserve">) was given to </w:t>
      </w:r>
      <w:r w:rsidRPr="001210C5">
        <w:t>3</w:t>
      </w:r>
      <w:r w:rsidR="006F4D59">
        <w:t xml:space="preserve">9 </w:t>
      </w:r>
      <w:r>
        <w:t xml:space="preserve">elementary education </w:t>
      </w:r>
      <w:r w:rsidRPr="001210C5">
        <w:t>students</w:t>
      </w:r>
      <w:r>
        <w:t>.  They were</w:t>
      </w:r>
      <w:r w:rsidRPr="001210C5">
        <w:t xml:space="preserve"> ranked by their </w:t>
      </w:r>
      <w:r>
        <w:t>supervising classroom</w:t>
      </w:r>
      <w:r w:rsidRPr="001210C5">
        <w:t xml:space="preserve"> teachers</w:t>
      </w:r>
      <w:r w:rsidR="00E5576C">
        <w:t xml:space="preserve"> (SCT)</w:t>
      </w:r>
      <w:r w:rsidRPr="001210C5">
        <w:t xml:space="preserve"> on </w:t>
      </w:r>
      <w:r>
        <w:t xml:space="preserve">(a) content knowledge of their subjects, (b) the alignment of content with objectives and standards, (c) accurate and current sources of information, and (d) content research to support lesson plan development.  </w:t>
      </w:r>
      <w:r w:rsidRPr="001210C5">
        <w:t xml:space="preserve">These four </w:t>
      </w:r>
      <w:r>
        <w:t>central concepts</w:t>
      </w:r>
      <w:r w:rsidRPr="001210C5">
        <w:t xml:space="preserve"> were evaluated across Language Arts, mathematics, science, and Social Studies.  Rankings were based upon four levels, i.e., </w:t>
      </w:r>
      <w:r>
        <w:t>Exemplary (3)</w:t>
      </w:r>
      <w:r w:rsidRPr="001210C5">
        <w:t>, Proficient</w:t>
      </w:r>
      <w:r>
        <w:t xml:space="preserve"> (2)</w:t>
      </w:r>
      <w:r w:rsidRPr="001210C5">
        <w:t xml:space="preserve">, </w:t>
      </w:r>
      <w:r>
        <w:t>Developing (1)</w:t>
      </w:r>
      <w:r w:rsidRPr="001210C5">
        <w:t xml:space="preserve">, and </w:t>
      </w:r>
      <w:r w:rsidR="006F4D59">
        <w:t>Unacceptable</w:t>
      </w:r>
      <w:r>
        <w:t xml:space="preserve"> (0)</w:t>
      </w:r>
      <w:r w:rsidRPr="001210C5">
        <w:t xml:space="preserve">.  </w:t>
      </w:r>
      <w:r w:rsidR="006F4D59">
        <w:t>The outcomes may be found in Table 12 below.</w:t>
      </w:r>
    </w:p>
    <w:p w14:paraId="35CBEFC3" w14:textId="77777777" w:rsidR="00D568BB" w:rsidRDefault="00D568BB" w:rsidP="00D14E9C"/>
    <w:p w14:paraId="6BB9E441" w14:textId="77777777" w:rsidR="00D568BB" w:rsidRDefault="00D568BB">
      <w:pPr>
        <w:spacing w:before="0" w:after="200"/>
      </w:pPr>
      <w:r>
        <w:br w:type="page"/>
      </w:r>
    </w:p>
    <w:tbl>
      <w:tblPr>
        <w:tblpPr w:leftFromText="180" w:rightFromText="180" w:vertAnchor="text" w:horzAnchor="margin" w:tblpXSpec="center" w:tblpY="119"/>
        <w:tblW w:w="8620" w:type="dxa"/>
        <w:tblLook w:val="04A0" w:firstRow="1" w:lastRow="0" w:firstColumn="1" w:lastColumn="0" w:noHBand="0" w:noVBand="1"/>
      </w:tblPr>
      <w:tblGrid>
        <w:gridCol w:w="1737"/>
        <w:gridCol w:w="731"/>
        <w:gridCol w:w="800"/>
        <w:gridCol w:w="731"/>
        <w:gridCol w:w="730"/>
        <w:gridCol w:w="730"/>
        <w:gridCol w:w="799"/>
        <w:gridCol w:w="730"/>
        <w:gridCol w:w="730"/>
        <w:gridCol w:w="902"/>
      </w:tblGrid>
      <w:tr w:rsidR="006F4D59" w:rsidRPr="00A57F7A" w14:paraId="3CF37CA5" w14:textId="77777777" w:rsidTr="006F4D59">
        <w:trPr>
          <w:trHeight w:val="330"/>
        </w:trPr>
        <w:tc>
          <w:tcPr>
            <w:tcW w:w="8620" w:type="dxa"/>
            <w:gridSpan w:val="10"/>
            <w:tcBorders>
              <w:top w:val="single" w:sz="4" w:space="0" w:color="auto"/>
              <w:left w:val="nil"/>
              <w:bottom w:val="single" w:sz="4" w:space="0" w:color="auto"/>
              <w:right w:val="nil"/>
            </w:tcBorders>
            <w:shd w:val="clear" w:color="auto" w:fill="auto"/>
            <w:noWrap/>
            <w:vAlign w:val="bottom"/>
            <w:hideMark/>
          </w:tcPr>
          <w:p w14:paraId="55767857" w14:textId="77777777" w:rsidR="006F4D59" w:rsidRPr="00A57F7A" w:rsidRDefault="006F4D59" w:rsidP="006F4D59">
            <w:pPr>
              <w:spacing w:before="0" w:after="0" w:line="240" w:lineRule="auto"/>
              <w:jc w:val="center"/>
              <w:rPr>
                <w:rFonts w:eastAsia="Times New Roman"/>
                <w:b/>
                <w:bCs/>
                <w:color w:val="000000"/>
                <w:szCs w:val="24"/>
              </w:rPr>
            </w:pPr>
            <w:bookmarkStart w:id="34" w:name="_Toc492828034"/>
            <w:r w:rsidRPr="00CB29F7">
              <w:rPr>
                <w:b/>
                <w:color w:val="000000" w:themeColor="text1"/>
              </w:rPr>
              <w:lastRenderedPageBreak/>
              <w:t xml:space="preserve">Table </w:t>
            </w:r>
            <w:r w:rsidRPr="00CB29F7">
              <w:rPr>
                <w:b/>
                <w:color w:val="000000" w:themeColor="text1"/>
              </w:rPr>
              <w:fldChar w:fldCharType="begin"/>
            </w:r>
            <w:r w:rsidRPr="00CB29F7">
              <w:rPr>
                <w:b/>
                <w:color w:val="000000" w:themeColor="text1"/>
              </w:rPr>
              <w:instrText xml:space="preserve"> SEQ Table \* ARABIC </w:instrText>
            </w:r>
            <w:r w:rsidRPr="00CB29F7">
              <w:rPr>
                <w:b/>
                <w:color w:val="000000" w:themeColor="text1"/>
              </w:rPr>
              <w:fldChar w:fldCharType="separate"/>
            </w:r>
            <w:r w:rsidR="0010294F">
              <w:rPr>
                <w:b/>
                <w:noProof/>
                <w:color w:val="000000" w:themeColor="text1"/>
              </w:rPr>
              <w:t>12</w:t>
            </w:r>
            <w:r w:rsidRPr="00CB29F7">
              <w:rPr>
                <w:b/>
                <w:color w:val="000000" w:themeColor="text1"/>
              </w:rPr>
              <w:fldChar w:fldCharType="end"/>
            </w:r>
            <w:r w:rsidRPr="00A57F7A">
              <w:rPr>
                <w:rFonts w:eastAsia="Times New Roman"/>
                <w:b/>
                <w:bCs/>
                <w:color w:val="000000"/>
                <w:szCs w:val="24"/>
              </w:rPr>
              <w:t>: Assessment of Content Knowledge Demonstrated during Student Teaching</w:t>
            </w:r>
            <w:bookmarkEnd w:id="34"/>
            <w:r w:rsidRPr="00A57F7A">
              <w:rPr>
                <w:rFonts w:eastAsia="Times New Roman"/>
                <w:b/>
                <w:bCs/>
                <w:color w:val="000000"/>
                <w:szCs w:val="24"/>
              </w:rPr>
              <w:t xml:space="preserve"> </w:t>
            </w:r>
          </w:p>
        </w:tc>
      </w:tr>
      <w:tr w:rsidR="006F4D59" w:rsidRPr="00A57F7A" w14:paraId="794D240B" w14:textId="77777777" w:rsidTr="006F4D59">
        <w:trPr>
          <w:trHeight w:val="315"/>
        </w:trPr>
        <w:tc>
          <w:tcPr>
            <w:tcW w:w="1737" w:type="dxa"/>
            <w:tcBorders>
              <w:top w:val="nil"/>
              <w:left w:val="nil"/>
              <w:bottom w:val="nil"/>
              <w:right w:val="nil"/>
            </w:tcBorders>
            <w:shd w:val="clear" w:color="auto" w:fill="auto"/>
            <w:noWrap/>
            <w:vAlign w:val="center"/>
            <w:hideMark/>
          </w:tcPr>
          <w:p w14:paraId="64019404" w14:textId="77777777" w:rsidR="006F4D59" w:rsidRPr="00A57F7A" w:rsidRDefault="006F4D59" w:rsidP="006F4D59">
            <w:pPr>
              <w:spacing w:before="0" w:after="0" w:line="240" w:lineRule="auto"/>
              <w:jc w:val="right"/>
              <w:rPr>
                <w:rFonts w:eastAsia="Times New Roman"/>
                <w:b/>
                <w:bCs/>
                <w:color w:val="000000"/>
                <w:szCs w:val="24"/>
              </w:rPr>
            </w:pPr>
            <w:r w:rsidRPr="00A57F7A">
              <w:rPr>
                <w:rFonts w:eastAsia="Times New Roman"/>
                <w:b/>
                <w:bCs/>
                <w:color w:val="000000"/>
                <w:szCs w:val="24"/>
              </w:rPr>
              <w:t>Descriptor</w:t>
            </w:r>
          </w:p>
        </w:tc>
        <w:tc>
          <w:tcPr>
            <w:tcW w:w="2992" w:type="dxa"/>
            <w:gridSpan w:val="4"/>
            <w:tcBorders>
              <w:top w:val="nil"/>
              <w:left w:val="nil"/>
              <w:bottom w:val="nil"/>
              <w:right w:val="nil"/>
            </w:tcBorders>
            <w:shd w:val="clear" w:color="auto" w:fill="auto"/>
            <w:noWrap/>
            <w:vAlign w:val="center"/>
            <w:hideMark/>
          </w:tcPr>
          <w:p w14:paraId="2B9841A2" w14:textId="77777777" w:rsidR="006F4D59" w:rsidRPr="00A57F7A" w:rsidRDefault="006F4D59" w:rsidP="006F4D59">
            <w:pPr>
              <w:spacing w:before="0" w:after="0" w:line="240" w:lineRule="auto"/>
              <w:jc w:val="center"/>
              <w:rPr>
                <w:rFonts w:eastAsia="Times New Roman"/>
                <w:b/>
                <w:bCs/>
                <w:color w:val="000000"/>
                <w:szCs w:val="24"/>
              </w:rPr>
            </w:pPr>
            <w:r w:rsidRPr="00A57F7A">
              <w:rPr>
                <w:rFonts w:eastAsia="Times New Roman"/>
                <w:b/>
                <w:bCs/>
                <w:color w:val="000000"/>
                <w:szCs w:val="24"/>
              </w:rPr>
              <w:t>Elem Ed Indicator (a)</w:t>
            </w:r>
          </w:p>
        </w:tc>
        <w:tc>
          <w:tcPr>
            <w:tcW w:w="2989" w:type="dxa"/>
            <w:gridSpan w:val="4"/>
            <w:tcBorders>
              <w:top w:val="nil"/>
              <w:left w:val="nil"/>
              <w:bottom w:val="nil"/>
              <w:right w:val="nil"/>
            </w:tcBorders>
            <w:shd w:val="clear" w:color="auto" w:fill="auto"/>
            <w:noWrap/>
            <w:vAlign w:val="center"/>
            <w:hideMark/>
          </w:tcPr>
          <w:p w14:paraId="0B1AB813" w14:textId="77777777" w:rsidR="006F4D59" w:rsidRPr="00A57F7A" w:rsidRDefault="006F4D59" w:rsidP="006F4D59">
            <w:pPr>
              <w:spacing w:before="0" w:after="0" w:line="240" w:lineRule="auto"/>
              <w:jc w:val="center"/>
              <w:rPr>
                <w:rFonts w:eastAsia="Times New Roman"/>
                <w:b/>
                <w:bCs/>
                <w:color w:val="000000"/>
                <w:szCs w:val="24"/>
              </w:rPr>
            </w:pPr>
            <w:r w:rsidRPr="00A57F7A">
              <w:rPr>
                <w:rFonts w:eastAsia="Times New Roman"/>
                <w:b/>
                <w:bCs/>
                <w:color w:val="000000"/>
                <w:szCs w:val="24"/>
              </w:rPr>
              <w:t>Elem Ed Indicator (b)</w:t>
            </w:r>
          </w:p>
        </w:tc>
        <w:tc>
          <w:tcPr>
            <w:tcW w:w="902" w:type="dxa"/>
            <w:tcBorders>
              <w:top w:val="nil"/>
              <w:left w:val="nil"/>
              <w:bottom w:val="nil"/>
              <w:right w:val="nil"/>
            </w:tcBorders>
            <w:shd w:val="clear" w:color="auto" w:fill="auto"/>
            <w:noWrap/>
            <w:vAlign w:val="bottom"/>
            <w:hideMark/>
          </w:tcPr>
          <w:p w14:paraId="1B146AAD" w14:textId="77777777" w:rsidR="006F4D59" w:rsidRPr="00A57F7A" w:rsidRDefault="006F4D59" w:rsidP="006F4D59">
            <w:pPr>
              <w:spacing w:before="0" w:after="0" w:line="240" w:lineRule="auto"/>
              <w:rPr>
                <w:rFonts w:ascii="Calibri" w:eastAsia="Times New Roman" w:hAnsi="Calibri"/>
                <w:color w:val="000000"/>
                <w:sz w:val="22"/>
              </w:rPr>
            </w:pPr>
          </w:p>
        </w:tc>
      </w:tr>
      <w:tr w:rsidR="006F4D59" w:rsidRPr="00A57F7A" w14:paraId="3AE002F9" w14:textId="77777777" w:rsidTr="006F4D59">
        <w:trPr>
          <w:trHeight w:val="315"/>
        </w:trPr>
        <w:tc>
          <w:tcPr>
            <w:tcW w:w="1737" w:type="dxa"/>
            <w:tcBorders>
              <w:top w:val="nil"/>
              <w:left w:val="nil"/>
              <w:bottom w:val="single" w:sz="4" w:space="0" w:color="auto"/>
              <w:right w:val="nil"/>
            </w:tcBorders>
            <w:shd w:val="clear" w:color="auto" w:fill="auto"/>
            <w:noWrap/>
            <w:vAlign w:val="center"/>
            <w:hideMark/>
          </w:tcPr>
          <w:p w14:paraId="1F6CB8DA" w14:textId="77777777" w:rsidR="006F4D59" w:rsidRPr="00A57F7A" w:rsidRDefault="006F4D59" w:rsidP="006F4D59">
            <w:pPr>
              <w:spacing w:before="0" w:after="0" w:line="240" w:lineRule="auto"/>
              <w:jc w:val="right"/>
              <w:rPr>
                <w:rFonts w:eastAsia="Times New Roman"/>
                <w:b/>
                <w:bCs/>
                <w:color w:val="000000"/>
                <w:sz w:val="22"/>
              </w:rPr>
            </w:pPr>
            <w:r w:rsidRPr="00A57F7A">
              <w:rPr>
                <w:rFonts w:eastAsia="Times New Roman"/>
                <w:b/>
                <w:bCs/>
                <w:color w:val="000000"/>
                <w:sz w:val="22"/>
              </w:rPr>
              <w:t>n = 39</w:t>
            </w:r>
          </w:p>
        </w:tc>
        <w:tc>
          <w:tcPr>
            <w:tcW w:w="2992" w:type="dxa"/>
            <w:gridSpan w:val="4"/>
            <w:tcBorders>
              <w:top w:val="nil"/>
              <w:left w:val="nil"/>
              <w:bottom w:val="single" w:sz="4" w:space="0" w:color="auto"/>
              <w:right w:val="nil"/>
            </w:tcBorders>
            <w:shd w:val="clear" w:color="auto" w:fill="auto"/>
            <w:noWrap/>
            <w:vAlign w:val="center"/>
            <w:hideMark/>
          </w:tcPr>
          <w:p w14:paraId="28FC4A9B" w14:textId="77777777" w:rsidR="006F4D59" w:rsidRPr="00A57F7A" w:rsidRDefault="006F4D59" w:rsidP="006F4D59">
            <w:pPr>
              <w:spacing w:before="0" w:after="0" w:line="240" w:lineRule="auto"/>
              <w:jc w:val="center"/>
              <w:rPr>
                <w:rFonts w:eastAsia="Times New Roman"/>
                <w:b/>
                <w:bCs/>
                <w:color w:val="000000"/>
                <w:szCs w:val="24"/>
              </w:rPr>
            </w:pPr>
            <w:r w:rsidRPr="00A57F7A">
              <w:rPr>
                <w:rFonts w:eastAsia="Times New Roman"/>
                <w:b/>
                <w:bCs/>
                <w:color w:val="000000"/>
                <w:szCs w:val="24"/>
              </w:rPr>
              <w:t>Content Knowledge</w:t>
            </w:r>
          </w:p>
        </w:tc>
        <w:tc>
          <w:tcPr>
            <w:tcW w:w="2989" w:type="dxa"/>
            <w:gridSpan w:val="4"/>
            <w:tcBorders>
              <w:top w:val="nil"/>
              <w:left w:val="nil"/>
              <w:bottom w:val="single" w:sz="4" w:space="0" w:color="auto"/>
              <w:right w:val="nil"/>
            </w:tcBorders>
            <w:shd w:val="clear" w:color="auto" w:fill="auto"/>
            <w:noWrap/>
            <w:vAlign w:val="center"/>
            <w:hideMark/>
          </w:tcPr>
          <w:p w14:paraId="71C6D3C1" w14:textId="77777777" w:rsidR="006F4D59" w:rsidRPr="00A57F7A" w:rsidRDefault="006F4D59" w:rsidP="006F4D59">
            <w:pPr>
              <w:spacing w:before="0" w:after="0" w:line="240" w:lineRule="auto"/>
              <w:jc w:val="center"/>
              <w:rPr>
                <w:rFonts w:eastAsia="Times New Roman"/>
                <w:b/>
                <w:bCs/>
                <w:color w:val="000000"/>
                <w:szCs w:val="24"/>
              </w:rPr>
            </w:pPr>
            <w:r w:rsidRPr="00A57F7A">
              <w:rPr>
                <w:rFonts w:eastAsia="Times New Roman"/>
                <w:b/>
                <w:bCs/>
                <w:color w:val="000000"/>
                <w:szCs w:val="24"/>
              </w:rPr>
              <w:t>Content Alignment</w:t>
            </w:r>
          </w:p>
        </w:tc>
        <w:tc>
          <w:tcPr>
            <w:tcW w:w="902" w:type="dxa"/>
            <w:tcBorders>
              <w:top w:val="nil"/>
              <w:left w:val="nil"/>
              <w:bottom w:val="nil"/>
              <w:right w:val="nil"/>
            </w:tcBorders>
            <w:shd w:val="clear" w:color="auto" w:fill="auto"/>
            <w:noWrap/>
            <w:vAlign w:val="bottom"/>
            <w:hideMark/>
          </w:tcPr>
          <w:p w14:paraId="73B67CD6" w14:textId="77777777" w:rsidR="006F4D59" w:rsidRPr="00A57F7A" w:rsidRDefault="006F4D59" w:rsidP="006F4D59">
            <w:pPr>
              <w:spacing w:before="0" w:after="0" w:line="240" w:lineRule="auto"/>
              <w:rPr>
                <w:rFonts w:ascii="Calibri" w:eastAsia="Times New Roman" w:hAnsi="Calibri"/>
                <w:color w:val="000000"/>
                <w:sz w:val="22"/>
              </w:rPr>
            </w:pPr>
          </w:p>
        </w:tc>
      </w:tr>
      <w:tr w:rsidR="006F4D59" w:rsidRPr="00A57F7A" w14:paraId="1BAFEA2D" w14:textId="77777777" w:rsidTr="006F4D59">
        <w:trPr>
          <w:trHeight w:val="315"/>
        </w:trPr>
        <w:tc>
          <w:tcPr>
            <w:tcW w:w="1737" w:type="dxa"/>
            <w:tcBorders>
              <w:top w:val="nil"/>
              <w:left w:val="nil"/>
              <w:bottom w:val="nil"/>
              <w:right w:val="nil"/>
            </w:tcBorders>
            <w:shd w:val="clear" w:color="auto" w:fill="auto"/>
            <w:noWrap/>
            <w:vAlign w:val="bottom"/>
            <w:hideMark/>
          </w:tcPr>
          <w:p w14:paraId="3EDECD38" w14:textId="77777777" w:rsidR="006F4D59" w:rsidRPr="00A57F7A" w:rsidRDefault="006F4D59" w:rsidP="006F4D59">
            <w:pPr>
              <w:spacing w:before="0" w:after="0" w:line="240" w:lineRule="auto"/>
              <w:rPr>
                <w:rFonts w:ascii="Calibri" w:eastAsia="Times New Roman" w:hAnsi="Calibri"/>
                <w:color w:val="000000"/>
                <w:sz w:val="22"/>
              </w:rPr>
            </w:pPr>
          </w:p>
        </w:tc>
        <w:tc>
          <w:tcPr>
            <w:tcW w:w="731" w:type="dxa"/>
            <w:tcBorders>
              <w:top w:val="nil"/>
              <w:left w:val="nil"/>
              <w:bottom w:val="nil"/>
              <w:right w:val="nil"/>
            </w:tcBorders>
            <w:shd w:val="clear" w:color="auto" w:fill="auto"/>
            <w:noWrap/>
            <w:vAlign w:val="center"/>
            <w:hideMark/>
          </w:tcPr>
          <w:p w14:paraId="0473B11E"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LA</w:t>
            </w:r>
          </w:p>
        </w:tc>
        <w:tc>
          <w:tcPr>
            <w:tcW w:w="800" w:type="dxa"/>
            <w:tcBorders>
              <w:top w:val="nil"/>
              <w:left w:val="nil"/>
              <w:bottom w:val="nil"/>
              <w:right w:val="nil"/>
            </w:tcBorders>
            <w:shd w:val="clear" w:color="auto" w:fill="auto"/>
            <w:noWrap/>
            <w:vAlign w:val="center"/>
            <w:hideMark/>
          </w:tcPr>
          <w:p w14:paraId="655E8238"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Math</w:t>
            </w:r>
          </w:p>
        </w:tc>
        <w:tc>
          <w:tcPr>
            <w:tcW w:w="731" w:type="dxa"/>
            <w:tcBorders>
              <w:top w:val="nil"/>
              <w:left w:val="nil"/>
              <w:bottom w:val="nil"/>
              <w:right w:val="nil"/>
            </w:tcBorders>
            <w:shd w:val="clear" w:color="auto" w:fill="auto"/>
            <w:noWrap/>
            <w:vAlign w:val="center"/>
            <w:hideMark/>
          </w:tcPr>
          <w:p w14:paraId="75B692A1" w14:textId="77777777" w:rsidR="006F4D59" w:rsidRPr="00A57F7A" w:rsidRDefault="006F4D59" w:rsidP="006F4D59">
            <w:pPr>
              <w:spacing w:before="0" w:after="0" w:line="240" w:lineRule="auto"/>
              <w:jc w:val="center"/>
              <w:rPr>
                <w:rFonts w:eastAsia="Times New Roman"/>
                <w:b/>
                <w:bCs/>
                <w:color w:val="000000"/>
                <w:sz w:val="22"/>
              </w:rPr>
            </w:pPr>
            <w:proofErr w:type="spellStart"/>
            <w:r w:rsidRPr="00A57F7A">
              <w:rPr>
                <w:rFonts w:eastAsia="Times New Roman"/>
                <w:b/>
                <w:bCs/>
                <w:color w:val="000000"/>
                <w:sz w:val="22"/>
              </w:rPr>
              <w:t>Sci</w:t>
            </w:r>
            <w:proofErr w:type="spellEnd"/>
          </w:p>
        </w:tc>
        <w:tc>
          <w:tcPr>
            <w:tcW w:w="730" w:type="dxa"/>
            <w:tcBorders>
              <w:top w:val="nil"/>
              <w:left w:val="nil"/>
              <w:bottom w:val="nil"/>
              <w:right w:val="nil"/>
            </w:tcBorders>
            <w:shd w:val="clear" w:color="auto" w:fill="auto"/>
            <w:noWrap/>
            <w:vAlign w:val="center"/>
            <w:hideMark/>
          </w:tcPr>
          <w:p w14:paraId="78242717"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SS</w:t>
            </w:r>
          </w:p>
        </w:tc>
        <w:tc>
          <w:tcPr>
            <w:tcW w:w="730" w:type="dxa"/>
            <w:tcBorders>
              <w:top w:val="nil"/>
              <w:left w:val="nil"/>
              <w:bottom w:val="nil"/>
              <w:right w:val="nil"/>
            </w:tcBorders>
            <w:shd w:val="clear" w:color="auto" w:fill="auto"/>
            <w:noWrap/>
            <w:vAlign w:val="center"/>
            <w:hideMark/>
          </w:tcPr>
          <w:p w14:paraId="1DFCA042"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LA</w:t>
            </w:r>
          </w:p>
        </w:tc>
        <w:tc>
          <w:tcPr>
            <w:tcW w:w="799" w:type="dxa"/>
            <w:tcBorders>
              <w:top w:val="nil"/>
              <w:left w:val="nil"/>
              <w:bottom w:val="nil"/>
              <w:right w:val="nil"/>
            </w:tcBorders>
            <w:shd w:val="clear" w:color="auto" w:fill="auto"/>
            <w:noWrap/>
            <w:vAlign w:val="center"/>
            <w:hideMark/>
          </w:tcPr>
          <w:p w14:paraId="7F9CC409"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Math</w:t>
            </w:r>
          </w:p>
        </w:tc>
        <w:tc>
          <w:tcPr>
            <w:tcW w:w="730" w:type="dxa"/>
            <w:tcBorders>
              <w:top w:val="nil"/>
              <w:left w:val="nil"/>
              <w:bottom w:val="nil"/>
              <w:right w:val="nil"/>
            </w:tcBorders>
            <w:shd w:val="clear" w:color="auto" w:fill="auto"/>
            <w:noWrap/>
            <w:vAlign w:val="center"/>
            <w:hideMark/>
          </w:tcPr>
          <w:p w14:paraId="3C199916" w14:textId="77777777" w:rsidR="006F4D59" w:rsidRPr="00A57F7A" w:rsidRDefault="006F4D59" w:rsidP="006F4D59">
            <w:pPr>
              <w:spacing w:before="0" w:after="0" w:line="240" w:lineRule="auto"/>
              <w:jc w:val="center"/>
              <w:rPr>
                <w:rFonts w:eastAsia="Times New Roman"/>
                <w:b/>
                <w:bCs/>
                <w:color w:val="000000"/>
                <w:sz w:val="22"/>
              </w:rPr>
            </w:pPr>
            <w:proofErr w:type="spellStart"/>
            <w:r w:rsidRPr="00A57F7A">
              <w:rPr>
                <w:rFonts w:eastAsia="Times New Roman"/>
                <w:b/>
                <w:bCs/>
                <w:color w:val="000000"/>
                <w:sz w:val="22"/>
              </w:rPr>
              <w:t>Sci</w:t>
            </w:r>
            <w:proofErr w:type="spellEnd"/>
          </w:p>
        </w:tc>
        <w:tc>
          <w:tcPr>
            <w:tcW w:w="730" w:type="dxa"/>
            <w:tcBorders>
              <w:top w:val="nil"/>
              <w:left w:val="nil"/>
              <w:bottom w:val="nil"/>
              <w:right w:val="nil"/>
            </w:tcBorders>
            <w:shd w:val="clear" w:color="auto" w:fill="auto"/>
            <w:noWrap/>
            <w:vAlign w:val="center"/>
            <w:hideMark/>
          </w:tcPr>
          <w:p w14:paraId="3D12B8BC"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SS</w:t>
            </w:r>
          </w:p>
        </w:tc>
        <w:tc>
          <w:tcPr>
            <w:tcW w:w="902" w:type="dxa"/>
            <w:tcBorders>
              <w:top w:val="nil"/>
              <w:left w:val="nil"/>
              <w:bottom w:val="nil"/>
              <w:right w:val="nil"/>
            </w:tcBorders>
            <w:shd w:val="clear" w:color="auto" w:fill="auto"/>
            <w:noWrap/>
            <w:vAlign w:val="bottom"/>
            <w:hideMark/>
          </w:tcPr>
          <w:p w14:paraId="1245D2AD" w14:textId="77777777" w:rsidR="006F4D59" w:rsidRPr="00A57F7A" w:rsidRDefault="006F4D59" w:rsidP="006F4D59">
            <w:pPr>
              <w:spacing w:before="0" w:after="0" w:line="240" w:lineRule="auto"/>
              <w:rPr>
                <w:rFonts w:ascii="Calibri" w:eastAsia="Times New Roman" w:hAnsi="Calibri"/>
                <w:color w:val="000000"/>
                <w:sz w:val="22"/>
              </w:rPr>
            </w:pPr>
          </w:p>
        </w:tc>
      </w:tr>
      <w:tr w:rsidR="006F4D59" w:rsidRPr="00A57F7A" w14:paraId="5C425F14" w14:textId="77777777" w:rsidTr="006F4D59">
        <w:trPr>
          <w:trHeight w:val="300"/>
        </w:trPr>
        <w:tc>
          <w:tcPr>
            <w:tcW w:w="1737" w:type="dxa"/>
            <w:tcBorders>
              <w:top w:val="nil"/>
              <w:left w:val="nil"/>
              <w:bottom w:val="nil"/>
              <w:right w:val="nil"/>
            </w:tcBorders>
            <w:shd w:val="clear" w:color="auto" w:fill="auto"/>
            <w:noWrap/>
            <w:vAlign w:val="center"/>
            <w:hideMark/>
          </w:tcPr>
          <w:p w14:paraId="46B78415" w14:textId="77777777" w:rsidR="006F4D59" w:rsidRPr="00A57F7A" w:rsidRDefault="006F4D59" w:rsidP="006F4D59">
            <w:pPr>
              <w:spacing w:before="0" w:after="0" w:line="240" w:lineRule="auto"/>
              <w:jc w:val="right"/>
              <w:rPr>
                <w:rFonts w:eastAsia="Times New Roman"/>
                <w:color w:val="000000"/>
                <w:sz w:val="20"/>
                <w:szCs w:val="20"/>
              </w:rPr>
            </w:pPr>
            <w:r w:rsidRPr="00A57F7A">
              <w:rPr>
                <w:rFonts w:eastAsia="Times New Roman"/>
                <w:color w:val="000000"/>
                <w:sz w:val="20"/>
                <w:szCs w:val="20"/>
              </w:rPr>
              <w:t>Exemplary</w:t>
            </w:r>
          </w:p>
        </w:tc>
        <w:tc>
          <w:tcPr>
            <w:tcW w:w="731" w:type="dxa"/>
            <w:tcBorders>
              <w:top w:val="nil"/>
              <w:left w:val="nil"/>
              <w:bottom w:val="nil"/>
              <w:right w:val="nil"/>
            </w:tcBorders>
            <w:shd w:val="clear" w:color="auto" w:fill="auto"/>
            <w:noWrap/>
            <w:vAlign w:val="bottom"/>
            <w:hideMark/>
          </w:tcPr>
          <w:p w14:paraId="0952FB44"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49%</w:t>
            </w:r>
          </w:p>
        </w:tc>
        <w:tc>
          <w:tcPr>
            <w:tcW w:w="800" w:type="dxa"/>
            <w:tcBorders>
              <w:top w:val="nil"/>
              <w:left w:val="nil"/>
              <w:bottom w:val="nil"/>
              <w:right w:val="nil"/>
            </w:tcBorders>
            <w:shd w:val="clear" w:color="auto" w:fill="auto"/>
            <w:noWrap/>
            <w:vAlign w:val="bottom"/>
            <w:hideMark/>
          </w:tcPr>
          <w:p w14:paraId="4F7E06D1"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49%</w:t>
            </w:r>
          </w:p>
        </w:tc>
        <w:tc>
          <w:tcPr>
            <w:tcW w:w="731" w:type="dxa"/>
            <w:tcBorders>
              <w:top w:val="nil"/>
              <w:left w:val="nil"/>
              <w:bottom w:val="nil"/>
              <w:right w:val="nil"/>
            </w:tcBorders>
            <w:shd w:val="clear" w:color="auto" w:fill="auto"/>
            <w:noWrap/>
            <w:vAlign w:val="bottom"/>
            <w:hideMark/>
          </w:tcPr>
          <w:p w14:paraId="30D852B9"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46%</w:t>
            </w:r>
          </w:p>
        </w:tc>
        <w:tc>
          <w:tcPr>
            <w:tcW w:w="730" w:type="dxa"/>
            <w:tcBorders>
              <w:top w:val="nil"/>
              <w:left w:val="nil"/>
              <w:bottom w:val="nil"/>
              <w:right w:val="nil"/>
            </w:tcBorders>
            <w:shd w:val="clear" w:color="auto" w:fill="auto"/>
            <w:noWrap/>
            <w:vAlign w:val="bottom"/>
            <w:hideMark/>
          </w:tcPr>
          <w:p w14:paraId="75EA5207"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51%</w:t>
            </w:r>
          </w:p>
        </w:tc>
        <w:tc>
          <w:tcPr>
            <w:tcW w:w="730" w:type="dxa"/>
            <w:tcBorders>
              <w:top w:val="nil"/>
              <w:left w:val="nil"/>
              <w:bottom w:val="nil"/>
              <w:right w:val="nil"/>
            </w:tcBorders>
            <w:shd w:val="clear" w:color="auto" w:fill="auto"/>
            <w:noWrap/>
            <w:vAlign w:val="bottom"/>
            <w:hideMark/>
          </w:tcPr>
          <w:p w14:paraId="3959DA0B"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51%</w:t>
            </w:r>
          </w:p>
        </w:tc>
        <w:tc>
          <w:tcPr>
            <w:tcW w:w="799" w:type="dxa"/>
            <w:tcBorders>
              <w:top w:val="nil"/>
              <w:left w:val="nil"/>
              <w:bottom w:val="nil"/>
              <w:right w:val="nil"/>
            </w:tcBorders>
            <w:shd w:val="clear" w:color="auto" w:fill="auto"/>
            <w:noWrap/>
            <w:vAlign w:val="bottom"/>
            <w:hideMark/>
          </w:tcPr>
          <w:p w14:paraId="470EA971"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56%</w:t>
            </w:r>
          </w:p>
        </w:tc>
        <w:tc>
          <w:tcPr>
            <w:tcW w:w="730" w:type="dxa"/>
            <w:tcBorders>
              <w:top w:val="nil"/>
              <w:left w:val="nil"/>
              <w:bottom w:val="nil"/>
              <w:right w:val="nil"/>
            </w:tcBorders>
            <w:shd w:val="clear" w:color="auto" w:fill="auto"/>
            <w:noWrap/>
            <w:vAlign w:val="bottom"/>
            <w:hideMark/>
          </w:tcPr>
          <w:p w14:paraId="18873EE7"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62%</w:t>
            </w:r>
          </w:p>
        </w:tc>
        <w:tc>
          <w:tcPr>
            <w:tcW w:w="730" w:type="dxa"/>
            <w:tcBorders>
              <w:top w:val="nil"/>
              <w:left w:val="nil"/>
              <w:bottom w:val="nil"/>
              <w:right w:val="nil"/>
            </w:tcBorders>
            <w:shd w:val="clear" w:color="auto" w:fill="auto"/>
            <w:noWrap/>
            <w:vAlign w:val="bottom"/>
            <w:hideMark/>
          </w:tcPr>
          <w:p w14:paraId="1784D825"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54%</w:t>
            </w:r>
          </w:p>
        </w:tc>
        <w:tc>
          <w:tcPr>
            <w:tcW w:w="902" w:type="dxa"/>
            <w:tcBorders>
              <w:top w:val="nil"/>
              <w:left w:val="nil"/>
              <w:bottom w:val="nil"/>
              <w:right w:val="nil"/>
            </w:tcBorders>
            <w:shd w:val="clear" w:color="auto" w:fill="auto"/>
            <w:noWrap/>
            <w:vAlign w:val="bottom"/>
            <w:hideMark/>
          </w:tcPr>
          <w:p w14:paraId="5E64CE12" w14:textId="77777777" w:rsidR="006F4D59" w:rsidRPr="00A57F7A" w:rsidRDefault="006F4D59" w:rsidP="006F4D59">
            <w:pPr>
              <w:spacing w:before="0" w:after="0" w:line="240" w:lineRule="auto"/>
              <w:rPr>
                <w:rFonts w:ascii="Calibri" w:eastAsia="Times New Roman" w:hAnsi="Calibri"/>
                <w:color w:val="000000"/>
                <w:sz w:val="20"/>
                <w:szCs w:val="20"/>
              </w:rPr>
            </w:pPr>
          </w:p>
        </w:tc>
      </w:tr>
      <w:tr w:rsidR="006F4D59" w:rsidRPr="00A57F7A" w14:paraId="40785F76" w14:textId="77777777" w:rsidTr="006F4D59">
        <w:trPr>
          <w:trHeight w:val="300"/>
        </w:trPr>
        <w:tc>
          <w:tcPr>
            <w:tcW w:w="1737" w:type="dxa"/>
            <w:tcBorders>
              <w:top w:val="nil"/>
              <w:left w:val="nil"/>
              <w:bottom w:val="nil"/>
              <w:right w:val="nil"/>
            </w:tcBorders>
            <w:shd w:val="clear" w:color="auto" w:fill="auto"/>
            <w:noWrap/>
            <w:vAlign w:val="center"/>
            <w:hideMark/>
          </w:tcPr>
          <w:p w14:paraId="79467A99" w14:textId="77777777" w:rsidR="006F4D59" w:rsidRPr="00A57F7A" w:rsidRDefault="006F4D59" w:rsidP="006F4D59">
            <w:pPr>
              <w:spacing w:before="0" w:after="0" w:line="240" w:lineRule="auto"/>
              <w:jc w:val="right"/>
              <w:rPr>
                <w:rFonts w:eastAsia="Times New Roman"/>
                <w:color w:val="000000"/>
                <w:sz w:val="20"/>
                <w:szCs w:val="20"/>
              </w:rPr>
            </w:pPr>
            <w:r w:rsidRPr="00A57F7A">
              <w:rPr>
                <w:rFonts w:eastAsia="Times New Roman"/>
                <w:color w:val="000000"/>
                <w:sz w:val="20"/>
                <w:szCs w:val="20"/>
              </w:rPr>
              <w:t>Proficient</w:t>
            </w:r>
          </w:p>
        </w:tc>
        <w:tc>
          <w:tcPr>
            <w:tcW w:w="731" w:type="dxa"/>
            <w:tcBorders>
              <w:top w:val="nil"/>
              <w:left w:val="nil"/>
              <w:bottom w:val="nil"/>
              <w:right w:val="nil"/>
            </w:tcBorders>
            <w:shd w:val="clear" w:color="auto" w:fill="auto"/>
            <w:noWrap/>
            <w:vAlign w:val="bottom"/>
            <w:hideMark/>
          </w:tcPr>
          <w:p w14:paraId="1FDA34D9"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51%</w:t>
            </w:r>
          </w:p>
        </w:tc>
        <w:tc>
          <w:tcPr>
            <w:tcW w:w="800" w:type="dxa"/>
            <w:tcBorders>
              <w:top w:val="nil"/>
              <w:left w:val="nil"/>
              <w:bottom w:val="nil"/>
              <w:right w:val="nil"/>
            </w:tcBorders>
            <w:shd w:val="clear" w:color="auto" w:fill="auto"/>
            <w:noWrap/>
            <w:vAlign w:val="bottom"/>
            <w:hideMark/>
          </w:tcPr>
          <w:p w14:paraId="112A26A7"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49%</w:t>
            </w:r>
          </w:p>
        </w:tc>
        <w:tc>
          <w:tcPr>
            <w:tcW w:w="731" w:type="dxa"/>
            <w:tcBorders>
              <w:top w:val="nil"/>
              <w:left w:val="nil"/>
              <w:bottom w:val="nil"/>
              <w:right w:val="nil"/>
            </w:tcBorders>
            <w:shd w:val="clear" w:color="auto" w:fill="auto"/>
            <w:noWrap/>
            <w:vAlign w:val="bottom"/>
            <w:hideMark/>
          </w:tcPr>
          <w:p w14:paraId="19198287"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54%</w:t>
            </w:r>
          </w:p>
        </w:tc>
        <w:tc>
          <w:tcPr>
            <w:tcW w:w="730" w:type="dxa"/>
            <w:tcBorders>
              <w:top w:val="nil"/>
              <w:left w:val="nil"/>
              <w:bottom w:val="nil"/>
              <w:right w:val="nil"/>
            </w:tcBorders>
            <w:shd w:val="clear" w:color="auto" w:fill="auto"/>
            <w:noWrap/>
            <w:vAlign w:val="bottom"/>
            <w:hideMark/>
          </w:tcPr>
          <w:p w14:paraId="02B12ED1"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49%</w:t>
            </w:r>
          </w:p>
        </w:tc>
        <w:tc>
          <w:tcPr>
            <w:tcW w:w="730" w:type="dxa"/>
            <w:tcBorders>
              <w:top w:val="nil"/>
              <w:left w:val="nil"/>
              <w:bottom w:val="nil"/>
              <w:right w:val="nil"/>
            </w:tcBorders>
            <w:shd w:val="clear" w:color="auto" w:fill="auto"/>
            <w:noWrap/>
            <w:vAlign w:val="bottom"/>
            <w:hideMark/>
          </w:tcPr>
          <w:p w14:paraId="625DBD20"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49%</w:t>
            </w:r>
          </w:p>
        </w:tc>
        <w:tc>
          <w:tcPr>
            <w:tcW w:w="799" w:type="dxa"/>
            <w:tcBorders>
              <w:top w:val="nil"/>
              <w:left w:val="nil"/>
              <w:bottom w:val="nil"/>
              <w:right w:val="nil"/>
            </w:tcBorders>
            <w:shd w:val="clear" w:color="auto" w:fill="auto"/>
            <w:noWrap/>
            <w:vAlign w:val="bottom"/>
            <w:hideMark/>
          </w:tcPr>
          <w:p w14:paraId="412D4D1E"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44%</w:t>
            </w:r>
          </w:p>
        </w:tc>
        <w:tc>
          <w:tcPr>
            <w:tcW w:w="730" w:type="dxa"/>
            <w:tcBorders>
              <w:top w:val="nil"/>
              <w:left w:val="nil"/>
              <w:bottom w:val="nil"/>
              <w:right w:val="nil"/>
            </w:tcBorders>
            <w:shd w:val="clear" w:color="auto" w:fill="auto"/>
            <w:noWrap/>
            <w:vAlign w:val="bottom"/>
            <w:hideMark/>
          </w:tcPr>
          <w:p w14:paraId="01F4563D"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38%</w:t>
            </w:r>
          </w:p>
        </w:tc>
        <w:tc>
          <w:tcPr>
            <w:tcW w:w="730" w:type="dxa"/>
            <w:tcBorders>
              <w:top w:val="nil"/>
              <w:left w:val="nil"/>
              <w:bottom w:val="nil"/>
              <w:right w:val="nil"/>
            </w:tcBorders>
            <w:shd w:val="clear" w:color="auto" w:fill="auto"/>
            <w:noWrap/>
            <w:vAlign w:val="bottom"/>
            <w:hideMark/>
          </w:tcPr>
          <w:p w14:paraId="159D0993"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46%</w:t>
            </w:r>
          </w:p>
        </w:tc>
        <w:tc>
          <w:tcPr>
            <w:tcW w:w="902" w:type="dxa"/>
            <w:tcBorders>
              <w:top w:val="nil"/>
              <w:left w:val="nil"/>
              <w:bottom w:val="nil"/>
              <w:right w:val="nil"/>
            </w:tcBorders>
            <w:shd w:val="clear" w:color="auto" w:fill="auto"/>
            <w:noWrap/>
            <w:vAlign w:val="bottom"/>
            <w:hideMark/>
          </w:tcPr>
          <w:p w14:paraId="448514B6" w14:textId="77777777" w:rsidR="006F4D59" w:rsidRPr="00A57F7A" w:rsidRDefault="006F4D59" w:rsidP="006F4D59">
            <w:pPr>
              <w:spacing w:before="0" w:after="0" w:line="240" w:lineRule="auto"/>
              <w:rPr>
                <w:rFonts w:ascii="Calibri" w:eastAsia="Times New Roman" w:hAnsi="Calibri"/>
                <w:color w:val="000000"/>
                <w:sz w:val="20"/>
                <w:szCs w:val="20"/>
              </w:rPr>
            </w:pPr>
          </w:p>
        </w:tc>
      </w:tr>
      <w:tr w:rsidR="006F4D59" w:rsidRPr="00A57F7A" w14:paraId="147915BA" w14:textId="77777777" w:rsidTr="006F4D59">
        <w:trPr>
          <w:trHeight w:val="300"/>
        </w:trPr>
        <w:tc>
          <w:tcPr>
            <w:tcW w:w="1737" w:type="dxa"/>
            <w:tcBorders>
              <w:top w:val="nil"/>
              <w:left w:val="nil"/>
              <w:bottom w:val="nil"/>
              <w:right w:val="nil"/>
            </w:tcBorders>
            <w:shd w:val="clear" w:color="auto" w:fill="auto"/>
            <w:noWrap/>
            <w:vAlign w:val="center"/>
            <w:hideMark/>
          </w:tcPr>
          <w:p w14:paraId="64F3076F" w14:textId="77777777" w:rsidR="006F4D59" w:rsidRPr="00A57F7A" w:rsidRDefault="006F4D59" w:rsidP="006F4D59">
            <w:pPr>
              <w:spacing w:before="0" w:after="0" w:line="240" w:lineRule="auto"/>
              <w:jc w:val="right"/>
              <w:rPr>
                <w:rFonts w:eastAsia="Times New Roman"/>
                <w:color w:val="000000"/>
                <w:sz w:val="20"/>
                <w:szCs w:val="20"/>
              </w:rPr>
            </w:pPr>
            <w:r w:rsidRPr="00A57F7A">
              <w:rPr>
                <w:rFonts w:eastAsia="Times New Roman"/>
                <w:color w:val="000000"/>
                <w:sz w:val="20"/>
                <w:szCs w:val="20"/>
              </w:rPr>
              <w:t>Developing</w:t>
            </w:r>
          </w:p>
        </w:tc>
        <w:tc>
          <w:tcPr>
            <w:tcW w:w="731" w:type="dxa"/>
            <w:tcBorders>
              <w:top w:val="nil"/>
              <w:left w:val="nil"/>
              <w:bottom w:val="nil"/>
              <w:right w:val="nil"/>
            </w:tcBorders>
            <w:shd w:val="clear" w:color="auto" w:fill="auto"/>
            <w:noWrap/>
            <w:vAlign w:val="bottom"/>
            <w:hideMark/>
          </w:tcPr>
          <w:p w14:paraId="5A7117CC"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800" w:type="dxa"/>
            <w:tcBorders>
              <w:top w:val="nil"/>
              <w:left w:val="nil"/>
              <w:bottom w:val="nil"/>
              <w:right w:val="nil"/>
            </w:tcBorders>
            <w:shd w:val="clear" w:color="auto" w:fill="auto"/>
            <w:noWrap/>
            <w:vAlign w:val="bottom"/>
            <w:hideMark/>
          </w:tcPr>
          <w:p w14:paraId="3FAACB38"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3%</w:t>
            </w:r>
          </w:p>
        </w:tc>
        <w:tc>
          <w:tcPr>
            <w:tcW w:w="731" w:type="dxa"/>
            <w:tcBorders>
              <w:top w:val="nil"/>
              <w:left w:val="nil"/>
              <w:bottom w:val="nil"/>
              <w:right w:val="nil"/>
            </w:tcBorders>
            <w:shd w:val="clear" w:color="auto" w:fill="auto"/>
            <w:noWrap/>
            <w:vAlign w:val="bottom"/>
            <w:hideMark/>
          </w:tcPr>
          <w:p w14:paraId="16430295"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bottom"/>
            <w:hideMark/>
          </w:tcPr>
          <w:p w14:paraId="23C6BC70"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bottom"/>
            <w:hideMark/>
          </w:tcPr>
          <w:p w14:paraId="1A37D1E8"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99" w:type="dxa"/>
            <w:tcBorders>
              <w:top w:val="nil"/>
              <w:left w:val="nil"/>
              <w:bottom w:val="nil"/>
              <w:right w:val="nil"/>
            </w:tcBorders>
            <w:shd w:val="clear" w:color="auto" w:fill="auto"/>
            <w:noWrap/>
            <w:vAlign w:val="bottom"/>
            <w:hideMark/>
          </w:tcPr>
          <w:p w14:paraId="6A7C741D"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bottom"/>
            <w:hideMark/>
          </w:tcPr>
          <w:p w14:paraId="437F7DA3"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bottom"/>
            <w:hideMark/>
          </w:tcPr>
          <w:p w14:paraId="0D03AEC9"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902" w:type="dxa"/>
            <w:tcBorders>
              <w:top w:val="nil"/>
              <w:left w:val="nil"/>
              <w:bottom w:val="nil"/>
              <w:right w:val="nil"/>
            </w:tcBorders>
            <w:shd w:val="clear" w:color="auto" w:fill="auto"/>
            <w:noWrap/>
            <w:vAlign w:val="bottom"/>
            <w:hideMark/>
          </w:tcPr>
          <w:p w14:paraId="6154FCF4" w14:textId="77777777" w:rsidR="006F4D59" w:rsidRPr="00A57F7A" w:rsidRDefault="006F4D59" w:rsidP="006F4D59">
            <w:pPr>
              <w:spacing w:before="0" w:after="0" w:line="240" w:lineRule="auto"/>
              <w:rPr>
                <w:rFonts w:ascii="Calibri" w:eastAsia="Times New Roman" w:hAnsi="Calibri"/>
                <w:color w:val="000000"/>
                <w:sz w:val="20"/>
                <w:szCs w:val="20"/>
              </w:rPr>
            </w:pPr>
          </w:p>
        </w:tc>
      </w:tr>
      <w:tr w:rsidR="006F4D59" w:rsidRPr="00A57F7A" w14:paraId="46BA95DD" w14:textId="77777777" w:rsidTr="006F4D59">
        <w:trPr>
          <w:trHeight w:val="300"/>
        </w:trPr>
        <w:tc>
          <w:tcPr>
            <w:tcW w:w="1737" w:type="dxa"/>
            <w:tcBorders>
              <w:top w:val="nil"/>
              <w:left w:val="nil"/>
              <w:bottom w:val="nil"/>
              <w:right w:val="nil"/>
            </w:tcBorders>
            <w:shd w:val="clear" w:color="auto" w:fill="auto"/>
            <w:noWrap/>
            <w:vAlign w:val="center"/>
            <w:hideMark/>
          </w:tcPr>
          <w:p w14:paraId="0443486E" w14:textId="77777777" w:rsidR="006F4D59" w:rsidRPr="00A57F7A" w:rsidRDefault="006F4D59" w:rsidP="006F4D59">
            <w:pPr>
              <w:spacing w:before="0" w:after="0" w:line="240" w:lineRule="auto"/>
              <w:jc w:val="right"/>
              <w:rPr>
                <w:rFonts w:eastAsia="Times New Roman"/>
                <w:color w:val="000000"/>
                <w:sz w:val="20"/>
                <w:szCs w:val="20"/>
              </w:rPr>
            </w:pPr>
            <w:r w:rsidRPr="00A57F7A">
              <w:rPr>
                <w:rFonts w:eastAsia="Times New Roman"/>
                <w:color w:val="000000"/>
                <w:sz w:val="20"/>
                <w:szCs w:val="20"/>
              </w:rPr>
              <w:t>Unacceptable</w:t>
            </w:r>
          </w:p>
        </w:tc>
        <w:tc>
          <w:tcPr>
            <w:tcW w:w="731" w:type="dxa"/>
            <w:tcBorders>
              <w:top w:val="nil"/>
              <w:left w:val="nil"/>
              <w:bottom w:val="nil"/>
              <w:right w:val="nil"/>
            </w:tcBorders>
            <w:shd w:val="clear" w:color="auto" w:fill="auto"/>
            <w:noWrap/>
            <w:vAlign w:val="center"/>
            <w:hideMark/>
          </w:tcPr>
          <w:p w14:paraId="243E5EDB"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800" w:type="dxa"/>
            <w:tcBorders>
              <w:top w:val="nil"/>
              <w:left w:val="nil"/>
              <w:bottom w:val="nil"/>
              <w:right w:val="nil"/>
            </w:tcBorders>
            <w:shd w:val="clear" w:color="auto" w:fill="auto"/>
            <w:noWrap/>
            <w:vAlign w:val="center"/>
            <w:hideMark/>
          </w:tcPr>
          <w:p w14:paraId="07C9C88F"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1" w:type="dxa"/>
            <w:tcBorders>
              <w:top w:val="nil"/>
              <w:left w:val="nil"/>
              <w:bottom w:val="nil"/>
              <w:right w:val="nil"/>
            </w:tcBorders>
            <w:shd w:val="clear" w:color="auto" w:fill="auto"/>
            <w:noWrap/>
            <w:vAlign w:val="center"/>
            <w:hideMark/>
          </w:tcPr>
          <w:p w14:paraId="631FD6FC"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578774DC"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029B0AAC"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99" w:type="dxa"/>
            <w:tcBorders>
              <w:top w:val="nil"/>
              <w:left w:val="nil"/>
              <w:bottom w:val="nil"/>
              <w:right w:val="nil"/>
            </w:tcBorders>
            <w:shd w:val="clear" w:color="auto" w:fill="auto"/>
            <w:noWrap/>
            <w:vAlign w:val="center"/>
            <w:hideMark/>
          </w:tcPr>
          <w:p w14:paraId="10F5076F"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232AE17B"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3F18DFFC"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902" w:type="dxa"/>
            <w:tcBorders>
              <w:top w:val="nil"/>
              <w:left w:val="nil"/>
              <w:bottom w:val="nil"/>
              <w:right w:val="nil"/>
            </w:tcBorders>
            <w:shd w:val="clear" w:color="auto" w:fill="auto"/>
            <w:noWrap/>
            <w:vAlign w:val="bottom"/>
            <w:hideMark/>
          </w:tcPr>
          <w:p w14:paraId="38559825" w14:textId="77777777" w:rsidR="006F4D59" w:rsidRPr="00A57F7A" w:rsidRDefault="006F4D59" w:rsidP="006F4D59">
            <w:pPr>
              <w:spacing w:before="0" w:after="0" w:line="240" w:lineRule="auto"/>
              <w:rPr>
                <w:rFonts w:ascii="Calibri" w:eastAsia="Times New Roman" w:hAnsi="Calibri"/>
                <w:color w:val="000000"/>
                <w:sz w:val="20"/>
                <w:szCs w:val="20"/>
              </w:rPr>
            </w:pPr>
          </w:p>
        </w:tc>
      </w:tr>
      <w:tr w:rsidR="006F4D59" w:rsidRPr="00A57F7A" w14:paraId="0A6D1A39" w14:textId="77777777" w:rsidTr="006F4D59">
        <w:trPr>
          <w:trHeight w:val="510"/>
        </w:trPr>
        <w:tc>
          <w:tcPr>
            <w:tcW w:w="1737" w:type="dxa"/>
            <w:tcBorders>
              <w:top w:val="nil"/>
              <w:left w:val="nil"/>
              <w:bottom w:val="nil"/>
              <w:right w:val="nil"/>
            </w:tcBorders>
            <w:shd w:val="clear" w:color="auto" w:fill="auto"/>
            <w:vAlign w:val="center"/>
            <w:hideMark/>
          </w:tcPr>
          <w:p w14:paraId="7F1411A1" w14:textId="77777777" w:rsidR="006F4D59" w:rsidRPr="00A57F7A" w:rsidRDefault="006F4D59" w:rsidP="006F4D59">
            <w:pPr>
              <w:spacing w:before="0" w:after="0" w:line="240" w:lineRule="auto"/>
              <w:jc w:val="right"/>
              <w:rPr>
                <w:rFonts w:eastAsia="Times New Roman"/>
                <w:color w:val="000000"/>
                <w:sz w:val="20"/>
                <w:szCs w:val="20"/>
              </w:rPr>
            </w:pPr>
            <w:r>
              <w:rPr>
                <w:rFonts w:eastAsia="Times New Roman"/>
                <w:color w:val="000000"/>
                <w:sz w:val="20"/>
                <w:szCs w:val="20"/>
              </w:rPr>
              <w:t xml:space="preserve">Exemplary </w:t>
            </w:r>
            <w:r w:rsidRPr="00A57F7A">
              <w:rPr>
                <w:rFonts w:eastAsia="Times New Roman"/>
                <w:color w:val="000000"/>
                <w:sz w:val="20"/>
                <w:szCs w:val="20"/>
              </w:rPr>
              <w:t>Proficient</w:t>
            </w:r>
          </w:p>
        </w:tc>
        <w:tc>
          <w:tcPr>
            <w:tcW w:w="731" w:type="dxa"/>
            <w:tcBorders>
              <w:top w:val="nil"/>
              <w:left w:val="nil"/>
              <w:bottom w:val="nil"/>
              <w:right w:val="nil"/>
            </w:tcBorders>
            <w:shd w:val="clear" w:color="auto" w:fill="auto"/>
            <w:noWrap/>
            <w:vAlign w:val="center"/>
            <w:hideMark/>
          </w:tcPr>
          <w:p w14:paraId="3FF53F3B"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800" w:type="dxa"/>
            <w:tcBorders>
              <w:top w:val="nil"/>
              <w:left w:val="nil"/>
              <w:bottom w:val="nil"/>
              <w:right w:val="nil"/>
            </w:tcBorders>
            <w:shd w:val="clear" w:color="auto" w:fill="auto"/>
            <w:noWrap/>
            <w:vAlign w:val="center"/>
            <w:hideMark/>
          </w:tcPr>
          <w:p w14:paraId="3E878A15"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97%</w:t>
            </w:r>
          </w:p>
        </w:tc>
        <w:tc>
          <w:tcPr>
            <w:tcW w:w="731" w:type="dxa"/>
            <w:tcBorders>
              <w:top w:val="nil"/>
              <w:left w:val="nil"/>
              <w:bottom w:val="nil"/>
              <w:right w:val="nil"/>
            </w:tcBorders>
            <w:shd w:val="clear" w:color="auto" w:fill="auto"/>
            <w:noWrap/>
            <w:vAlign w:val="center"/>
            <w:hideMark/>
          </w:tcPr>
          <w:p w14:paraId="70C924B0"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730" w:type="dxa"/>
            <w:tcBorders>
              <w:top w:val="nil"/>
              <w:left w:val="nil"/>
              <w:bottom w:val="nil"/>
              <w:right w:val="nil"/>
            </w:tcBorders>
            <w:shd w:val="clear" w:color="auto" w:fill="auto"/>
            <w:noWrap/>
            <w:vAlign w:val="center"/>
            <w:hideMark/>
          </w:tcPr>
          <w:p w14:paraId="6F9164B4"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730" w:type="dxa"/>
            <w:tcBorders>
              <w:top w:val="nil"/>
              <w:left w:val="nil"/>
              <w:bottom w:val="nil"/>
              <w:right w:val="nil"/>
            </w:tcBorders>
            <w:shd w:val="clear" w:color="auto" w:fill="auto"/>
            <w:noWrap/>
            <w:vAlign w:val="center"/>
            <w:hideMark/>
          </w:tcPr>
          <w:p w14:paraId="37D13578"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799" w:type="dxa"/>
            <w:tcBorders>
              <w:top w:val="nil"/>
              <w:left w:val="nil"/>
              <w:bottom w:val="nil"/>
              <w:right w:val="nil"/>
            </w:tcBorders>
            <w:shd w:val="clear" w:color="auto" w:fill="auto"/>
            <w:noWrap/>
            <w:vAlign w:val="center"/>
            <w:hideMark/>
          </w:tcPr>
          <w:p w14:paraId="6FFCFB9B"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730" w:type="dxa"/>
            <w:tcBorders>
              <w:top w:val="nil"/>
              <w:left w:val="nil"/>
              <w:bottom w:val="nil"/>
              <w:right w:val="nil"/>
            </w:tcBorders>
            <w:shd w:val="clear" w:color="auto" w:fill="auto"/>
            <w:noWrap/>
            <w:vAlign w:val="center"/>
            <w:hideMark/>
          </w:tcPr>
          <w:p w14:paraId="574D604B"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730" w:type="dxa"/>
            <w:tcBorders>
              <w:top w:val="nil"/>
              <w:left w:val="nil"/>
              <w:bottom w:val="nil"/>
              <w:right w:val="nil"/>
            </w:tcBorders>
            <w:shd w:val="clear" w:color="auto" w:fill="auto"/>
            <w:noWrap/>
            <w:vAlign w:val="center"/>
            <w:hideMark/>
          </w:tcPr>
          <w:p w14:paraId="4E74082B"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902" w:type="dxa"/>
            <w:tcBorders>
              <w:top w:val="nil"/>
              <w:left w:val="nil"/>
              <w:bottom w:val="nil"/>
              <w:right w:val="nil"/>
            </w:tcBorders>
            <w:shd w:val="clear" w:color="auto" w:fill="auto"/>
            <w:noWrap/>
            <w:vAlign w:val="bottom"/>
            <w:hideMark/>
          </w:tcPr>
          <w:p w14:paraId="546A3B2D" w14:textId="77777777" w:rsidR="006F4D59" w:rsidRPr="00A57F7A" w:rsidRDefault="006F4D59" w:rsidP="006F4D59">
            <w:pPr>
              <w:spacing w:before="0" w:after="0" w:line="240" w:lineRule="auto"/>
              <w:rPr>
                <w:rFonts w:ascii="Calibri" w:eastAsia="Times New Roman" w:hAnsi="Calibri"/>
                <w:color w:val="000000"/>
                <w:sz w:val="20"/>
                <w:szCs w:val="20"/>
              </w:rPr>
            </w:pPr>
          </w:p>
        </w:tc>
      </w:tr>
      <w:tr w:rsidR="006F4D59" w:rsidRPr="00A57F7A" w14:paraId="122C531E" w14:textId="77777777" w:rsidTr="006F4D59">
        <w:trPr>
          <w:trHeight w:val="315"/>
        </w:trPr>
        <w:tc>
          <w:tcPr>
            <w:tcW w:w="1737" w:type="dxa"/>
            <w:tcBorders>
              <w:top w:val="nil"/>
              <w:left w:val="nil"/>
              <w:bottom w:val="nil"/>
              <w:right w:val="nil"/>
            </w:tcBorders>
            <w:shd w:val="clear" w:color="auto" w:fill="auto"/>
            <w:noWrap/>
            <w:vAlign w:val="center"/>
            <w:hideMark/>
          </w:tcPr>
          <w:p w14:paraId="1693AD43" w14:textId="77777777" w:rsidR="006F4D59" w:rsidRPr="00A57F7A" w:rsidRDefault="006F4D59" w:rsidP="006F4D59">
            <w:pPr>
              <w:spacing w:before="0" w:after="0" w:line="240" w:lineRule="auto"/>
              <w:jc w:val="right"/>
              <w:rPr>
                <w:rFonts w:eastAsia="Times New Roman"/>
                <w:color w:val="000000"/>
                <w:sz w:val="20"/>
                <w:szCs w:val="20"/>
              </w:rPr>
            </w:pPr>
          </w:p>
        </w:tc>
        <w:tc>
          <w:tcPr>
            <w:tcW w:w="731" w:type="dxa"/>
            <w:tcBorders>
              <w:top w:val="nil"/>
              <w:left w:val="nil"/>
              <w:bottom w:val="nil"/>
              <w:right w:val="nil"/>
            </w:tcBorders>
            <w:shd w:val="clear" w:color="auto" w:fill="auto"/>
            <w:noWrap/>
            <w:vAlign w:val="center"/>
            <w:hideMark/>
          </w:tcPr>
          <w:p w14:paraId="3A6AB1CA" w14:textId="77777777" w:rsidR="006F4D59" w:rsidRPr="00A57F7A" w:rsidRDefault="006F4D59" w:rsidP="006F4D59">
            <w:pPr>
              <w:spacing w:before="0" w:after="0" w:line="240" w:lineRule="auto"/>
              <w:jc w:val="center"/>
              <w:rPr>
                <w:rFonts w:eastAsia="Times New Roman"/>
                <w:color w:val="000000"/>
                <w:sz w:val="20"/>
                <w:szCs w:val="20"/>
              </w:rPr>
            </w:pPr>
          </w:p>
        </w:tc>
        <w:tc>
          <w:tcPr>
            <w:tcW w:w="800" w:type="dxa"/>
            <w:tcBorders>
              <w:top w:val="nil"/>
              <w:left w:val="nil"/>
              <w:bottom w:val="nil"/>
              <w:right w:val="nil"/>
            </w:tcBorders>
            <w:shd w:val="clear" w:color="auto" w:fill="auto"/>
            <w:noWrap/>
            <w:vAlign w:val="center"/>
            <w:hideMark/>
          </w:tcPr>
          <w:p w14:paraId="2A33730B" w14:textId="77777777" w:rsidR="006F4D59" w:rsidRPr="00A57F7A" w:rsidRDefault="006F4D59" w:rsidP="006F4D59">
            <w:pPr>
              <w:spacing w:before="0" w:after="0" w:line="240" w:lineRule="auto"/>
              <w:jc w:val="center"/>
              <w:rPr>
                <w:rFonts w:eastAsia="Times New Roman"/>
                <w:color w:val="000000"/>
                <w:sz w:val="20"/>
                <w:szCs w:val="20"/>
              </w:rPr>
            </w:pPr>
          </w:p>
        </w:tc>
        <w:tc>
          <w:tcPr>
            <w:tcW w:w="731" w:type="dxa"/>
            <w:tcBorders>
              <w:top w:val="nil"/>
              <w:left w:val="nil"/>
              <w:bottom w:val="nil"/>
              <w:right w:val="nil"/>
            </w:tcBorders>
            <w:shd w:val="clear" w:color="auto" w:fill="auto"/>
            <w:noWrap/>
            <w:vAlign w:val="center"/>
            <w:hideMark/>
          </w:tcPr>
          <w:p w14:paraId="12D12C9D" w14:textId="77777777" w:rsidR="006F4D59" w:rsidRPr="00A57F7A" w:rsidRDefault="006F4D59" w:rsidP="006F4D59">
            <w:pPr>
              <w:spacing w:before="0" w:after="0" w:line="240" w:lineRule="auto"/>
              <w:jc w:val="center"/>
              <w:rPr>
                <w:rFonts w:eastAsia="Times New Roman"/>
                <w:color w:val="000000"/>
                <w:sz w:val="20"/>
                <w:szCs w:val="20"/>
              </w:rPr>
            </w:pPr>
          </w:p>
        </w:tc>
        <w:tc>
          <w:tcPr>
            <w:tcW w:w="730" w:type="dxa"/>
            <w:tcBorders>
              <w:top w:val="nil"/>
              <w:left w:val="nil"/>
              <w:bottom w:val="nil"/>
              <w:right w:val="nil"/>
            </w:tcBorders>
            <w:shd w:val="clear" w:color="auto" w:fill="auto"/>
            <w:noWrap/>
            <w:vAlign w:val="center"/>
            <w:hideMark/>
          </w:tcPr>
          <w:p w14:paraId="7DA93EAD" w14:textId="77777777" w:rsidR="006F4D59" w:rsidRPr="00A57F7A" w:rsidRDefault="006F4D59" w:rsidP="006F4D59">
            <w:pPr>
              <w:spacing w:before="0" w:after="0" w:line="240" w:lineRule="auto"/>
              <w:jc w:val="center"/>
              <w:rPr>
                <w:rFonts w:eastAsia="Times New Roman"/>
                <w:color w:val="000000"/>
                <w:sz w:val="20"/>
                <w:szCs w:val="20"/>
              </w:rPr>
            </w:pPr>
          </w:p>
        </w:tc>
        <w:tc>
          <w:tcPr>
            <w:tcW w:w="730" w:type="dxa"/>
            <w:tcBorders>
              <w:top w:val="nil"/>
              <w:left w:val="nil"/>
              <w:bottom w:val="nil"/>
              <w:right w:val="nil"/>
            </w:tcBorders>
            <w:shd w:val="clear" w:color="auto" w:fill="auto"/>
            <w:noWrap/>
            <w:vAlign w:val="center"/>
            <w:hideMark/>
          </w:tcPr>
          <w:p w14:paraId="60D6632A" w14:textId="77777777" w:rsidR="006F4D59" w:rsidRPr="00A57F7A" w:rsidRDefault="006F4D59" w:rsidP="006F4D59">
            <w:pPr>
              <w:spacing w:before="0" w:after="0" w:line="240" w:lineRule="auto"/>
              <w:jc w:val="center"/>
              <w:rPr>
                <w:rFonts w:eastAsia="Times New Roman"/>
                <w:color w:val="000000"/>
                <w:sz w:val="20"/>
                <w:szCs w:val="20"/>
              </w:rPr>
            </w:pPr>
          </w:p>
        </w:tc>
        <w:tc>
          <w:tcPr>
            <w:tcW w:w="799" w:type="dxa"/>
            <w:tcBorders>
              <w:top w:val="nil"/>
              <w:left w:val="nil"/>
              <w:bottom w:val="nil"/>
              <w:right w:val="nil"/>
            </w:tcBorders>
            <w:shd w:val="clear" w:color="auto" w:fill="auto"/>
            <w:noWrap/>
            <w:vAlign w:val="center"/>
            <w:hideMark/>
          </w:tcPr>
          <w:p w14:paraId="1BA726E4" w14:textId="77777777" w:rsidR="006F4D59" w:rsidRPr="00A57F7A" w:rsidRDefault="006F4D59" w:rsidP="006F4D59">
            <w:pPr>
              <w:spacing w:before="0" w:after="0" w:line="240" w:lineRule="auto"/>
              <w:jc w:val="center"/>
              <w:rPr>
                <w:rFonts w:eastAsia="Times New Roman"/>
                <w:color w:val="000000"/>
                <w:sz w:val="20"/>
                <w:szCs w:val="20"/>
              </w:rPr>
            </w:pPr>
          </w:p>
        </w:tc>
        <w:tc>
          <w:tcPr>
            <w:tcW w:w="730" w:type="dxa"/>
            <w:tcBorders>
              <w:top w:val="nil"/>
              <w:left w:val="nil"/>
              <w:bottom w:val="nil"/>
              <w:right w:val="nil"/>
            </w:tcBorders>
            <w:shd w:val="clear" w:color="auto" w:fill="auto"/>
            <w:noWrap/>
            <w:vAlign w:val="center"/>
            <w:hideMark/>
          </w:tcPr>
          <w:p w14:paraId="768BAA21" w14:textId="77777777" w:rsidR="006F4D59" w:rsidRPr="00A57F7A" w:rsidRDefault="006F4D59" w:rsidP="006F4D59">
            <w:pPr>
              <w:spacing w:before="0" w:after="0" w:line="240" w:lineRule="auto"/>
              <w:jc w:val="center"/>
              <w:rPr>
                <w:rFonts w:eastAsia="Times New Roman"/>
                <w:color w:val="000000"/>
                <w:sz w:val="20"/>
                <w:szCs w:val="20"/>
              </w:rPr>
            </w:pPr>
          </w:p>
        </w:tc>
        <w:tc>
          <w:tcPr>
            <w:tcW w:w="730" w:type="dxa"/>
            <w:tcBorders>
              <w:top w:val="nil"/>
              <w:left w:val="nil"/>
              <w:bottom w:val="nil"/>
              <w:right w:val="nil"/>
            </w:tcBorders>
            <w:shd w:val="clear" w:color="auto" w:fill="auto"/>
            <w:noWrap/>
            <w:vAlign w:val="center"/>
            <w:hideMark/>
          </w:tcPr>
          <w:p w14:paraId="670AA1C2" w14:textId="77777777" w:rsidR="006F4D59" w:rsidRPr="00A57F7A" w:rsidRDefault="006F4D59" w:rsidP="006F4D59">
            <w:pPr>
              <w:spacing w:before="0" w:after="0" w:line="240" w:lineRule="auto"/>
              <w:jc w:val="center"/>
              <w:rPr>
                <w:rFonts w:eastAsia="Times New Roman"/>
                <w:color w:val="000000"/>
                <w:sz w:val="20"/>
                <w:szCs w:val="20"/>
              </w:rPr>
            </w:pPr>
          </w:p>
        </w:tc>
        <w:tc>
          <w:tcPr>
            <w:tcW w:w="902" w:type="dxa"/>
            <w:tcBorders>
              <w:top w:val="nil"/>
              <w:left w:val="nil"/>
              <w:bottom w:val="nil"/>
              <w:right w:val="nil"/>
            </w:tcBorders>
            <w:shd w:val="clear" w:color="auto" w:fill="auto"/>
            <w:noWrap/>
            <w:vAlign w:val="bottom"/>
            <w:hideMark/>
          </w:tcPr>
          <w:p w14:paraId="1DEC6D5D" w14:textId="77777777" w:rsidR="006F4D59" w:rsidRPr="00A57F7A" w:rsidRDefault="006F4D59" w:rsidP="006F4D59">
            <w:pPr>
              <w:spacing w:before="0" w:after="0" w:line="240" w:lineRule="auto"/>
              <w:rPr>
                <w:rFonts w:ascii="Calibri" w:eastAsia="Times New Roman" w:hAnsi="Calibri"/>
                <w:color w:val="000000"/>
                <w:sz w:val="20"/>
                <w:szCs w:val="20"/>
              </w:rPr>
            </w:pPr>
          </w:p>
        </w:tc>
      </w:tr>
      <w:tr w:rsidR="006F4D59" w:rsidRPr="00A57F7A" w14:paraId="69EE7D21" w14:textId="77777777" w:rsidTr="006F4D59">
        <w:trPr>
          <w:trHeight w:val="315"/>
        </w:trPr>
        <w:tc>
          <w:tcPr>
            <w:tcW w:w="8620" w:type="dxa"/>
            <w:gridSpan w:val="10"/>
            <w:tcBorders>
              <w:top w:val="nil"/>
              <w:left w:val="nil"/>
              <w:bottom w:val="nil"/>
              <w:right w:val="nil"/>
            </w:tcBorders>
            <w:shd w:val="clear" w:color="auto" w:fill="auto"/>
            <w:noWrap/>
            <w:vAlign w:val="bottom"/>
            <w:hideMark/>
          </w:tcPr>
          <w:p w14:paraId="497D6091" w14:textId="77777777" w:rsidR="006F4D59" w:rsidRPr="00A57F7A" w:rsidRDefault="006F4D59" w:rsidP="006F4D59">
            <w:pPr>
              <w:spacing w:before="0" w:after="0" w:line="240" w:lineRule="auto"/>
              <w:jc w:val="center"/>
              <w:rPr>
                <w:rFonts w:eastAsia="Times New Roman"/>
                <w:b/>
                <w:bCs/>
                <w:color w:val="000000"/>
                <w:szCs w:val="24"/>
              </w:rPr>
            </w:pPr>
            <w:r w:rsidRPr="00A57F7A">
              <w:rPr>
                <w:rFonts w:eastAsia="Times New Roman"/>
                <w:b/>
                <w:bCs/>
                <w:color w:val="000000"/>
                <w:szCs w:val="24"/>
              </w:rPr>
              <w:t xml:space="preserve">Table 12 (Continued) Assessment of Content Knowledge during Student Teaching </w:t>
            </w:r>
          </w:p>
        </w:tc>
      </w:tr>
      <w:tr w:rsidR="006F4D59" w:rsidRPr="00A57F7A" w14:paraId="4856D173" w14:textId="77777777" w:rsidTr="006F4D59">
        <w:trPr>
          <w:trHeight w:val="315"/>
        </w:trPr>
        <w:tc>
          <w:tcPr>
            <w:tcW w:w="1737" w:type="dxa"/>
            <w:tcBorders>
              <w:top w:val="single" w:sz="4" w:space="0" w:color="auto"/>
              <w:left w:val="nil"/>
              <w:bottom w:val="nil"/>
              <w:right w:val="nil"/>
            </w:tcBorders>
            <w:shd w:val="clear" w:color="auto" w:fill="auto"/>
            <w:noWrap/>
            <w:vAlign w:val="center"/>
            <w:hideMark/>
          </w:tcPr>
          <w:p w14:paraId="7D434EC0" w14:textId="77777777" w:rsidR="006F4D59" w:rsidRPr="00A57F7A" w:rsidRDefault="006F4D59" w:rsidP="006F4D59">
            <w:pPr>
              <w:spacing w:before="0" w:after="0" w:line="240" w:lineRule="auto"/>
              <w:jc w:val="right"/>
              <w:rPr>
                <w:rFonts w:eastAsia="Times New Roman"/>
                <w:b/>
                <w:bCs/>
                <w:color w:val="000000"/>
                <w:szCs w:val="24"/>
              </w:rPr>
            </w:pPr>
            <w:r w:rsidRPr="00A57F7A">
              <w:rPr>
                <w:rFonts w:eastAsia="Times New Roman"/>
                <w:b/>
                <w:bCs/>
                <w:color w:val="000000"/>
                <w:szCs w:val="24"/>
              </w:rPr>
              <w:t>Descriptor</w:t>
            </w:r>
          </w:p>
        </w:tc>
        <w:tc>
          <w:tcPr>
            <w:tcW w:w="2992" w:type="dxa"/>
            <w:gridSpan w:val="4"/>
            <w:tcBorders>
              <w:top w:val="single" w:sz="4" w:space="0" w:color="auto"/>
              <w:left w:val="nil"/>
              <w:bottom w:val="nil"/>
              <w:right w:val="nil"/>
            </w:tcBorders>
            <w:shd w:val="clear" w:color="auto" w:fill="auto"/>
            <w:noWrap/>
            <w:vAlign w:val="center"/>
            <w:hideMark/>
          </w:tcPr>
          <w:p w14:paraId="1A310DF1" w14:textId="77777777" w:rsidR="006F4D59" w:rsidRPr="00A57F7A" w:rsidRDefault="006F4D59" w:rsidP="006F4D59">
            <w:pPr>
              <w:spacing w:before="0" w:after="0" w:line="240" w:lineRule="auto"/>
              <w:jc w:val="center"/>
              <w:rPr>
                <w:rFonts w:eastAsia="Times New Roman"/>
                <w:b/>
                <w:bCs/>
                <w:color w:val="000000"/>
                <w:szCs w:val="24"/>
              </w:rPr>
            </w:pPr>
            <w:r w:rsidRPr="00A57F7A">
              <w:rPr>
                <w:rFonts w:eastAsia="Times New Roman"/>
                <w:b/>
                <w:bCs/>
                <w:color w:val="000000"/>
                <w:szCs w:val="24"/>
              </w:rPr>
              <w:t>Elem Ed Indicator (c)</w:t>
            </w:r>
          </w:p>
        </w:tc>
        <w:tc>
          <w:tcPr>
            <w:tcW w:w="2989" w:type="dxa"/>
            <w:gridSpan w:val="4"/>
            <w:tcBorders>
              <w:top w:val="single" w:sz="4" w:space="0" w:color="auto"/>
              <w:left w:val="nil"/>
              <w:bottom w:val="nil"/>
              <w:right w:val="nil"/>
            </w:tcBorders>
            <w:shd w:val="clear" w:color="auto" w:fill="auto"/>
            <w:noWrap/>
            <w:vAlign w:val="center"/>
            <w:hideMark/>
          </w:tcPr>
          <w:p w14:paraId="66F0A97F" w14:textId="77777777" w:rsidR="006F4D59" w:rsidRPr="00A57F7A" w:rsidRDefault="006F4D59" w:rsidP="006F4D59">
            <w:pPr>
              <w:spacing w:before="0" w:after="0" w:line="240" w:lineRule="auto"/>
              <w:jc w:val="center"/>
              <w:rPr>
                <w:rFonts w:eastAsia="Times New Roman"/>
                <w:b/>
                <w:bCs/>
                <w:color w:val="000000"/>
                <w:szCs w:val="24"/>
              </w:rPr>
            </w:pPr>
            <w:r w:rsidRPr="00A57F7A">
              <w:rPr>
                <w:rFonts w:eastAsia="Times New Roman"/>
                <w:b/>
                <w:bCs/>
                <w:color w:val="000000"/>
                <w:szCs w:val="24"/>
              </w:rPr>
              <w:t>Elem Ed Indicator (d)</w:t>
            </w:r>
          </w:p>
        </w:tc>
        <w:tc>
          <w:tcPr>
            <w:tcW w:w="902" w:type="dxa"/>
            <w:tcBorders>
              <w:top w:val="single" w:sz="4" w:space="0" w:color="auto"/>
              <w:left w:val="nil"/>
              <w:bottom w:val="nil"/>
              <w:right w:val="nil"/>
            </w:tcBorders>
            <w:shd w:val="clear" w:color="auto" w:fill="auto"/>
            <w:noWrap/>
            <w:vAlign w:val="bottom"/>
            <w:hideMark/>
          </w:tcPr>
          <w:p w14:paraId="39A349E6" w14:textId="77777777" w:rsidR="006F4D59" w:rsidRPr="00A57F7A" w:rsidRDefault="006F4D59" w:rsidP="006F4D59">
            <w:pPr>
              <w:spacing w:before="0" w:after="0" w:line="240" w:lineRule="auto"/>
              <w:jc w:val="center"/>
              <w:rPr>
                <w:rFonts w:eastAsia="Times New Roman"/>
                <w:b/>
                <w:bCs/>
                <w:color w:val="000000"/>
                <w:szCs w:val="24"/>
              </w:rPr>
            </w:pPr>
            <w:r w:rsidRPr="00A57F7A">
              <w:rPr>
                <w:rFonts w:eastAsia="Times New Roman"/>
                <w:b/>
                <w:bCs/>
                <w:color w:val="000000"/>
                <w:szCs w:val="24"/>
              </w:rPr>
              <w:t xml:space="preserve">Total </w:t>
            </w:r>
          </w:p>
        </w:tc>
      </w:tr>
      <w:tr w:rsidR="006F4D59" w:rsidRPr="00A57F7A" w14:paraId="4E7B5CAF" w14:textId="77777777" w:rsidTr="006F4D59">
        <w:trPr>
          <w:trHeight w:val="330"/>
        </w:trPr>
        <w:tc>
          <w:tcPr>
            <w:tcW w:w="1737" w:type="dxa"/>
            <w:tcBorders>
              <w:top w:val="nil"/>
              <w:left w:val="nil"/>
              <w:bottom w:val="single" w:sz="4" w:space="0" w:color="auto"/>
              <w:right w:val="nil"/>
            </w:tcBorders>
            <w:shd w:val="clear" w:color="auto" w:fill="auto"/>
            <w:noWrap/>
            <w:vAlign w:val="center"/>
            <w:hideMark/>
          </w:tcPr>
          <w:p w14:paraId="45ADFAE6" w14:textId="77777777" w:rsidR="006F4D59" w:rsidRPr="00A57F7A" w:rsidRDefault="006F4D59" w:rsidP="006F4D59">
            <w:pPr>
              <w:spacing w:before="0" w:after="0" w:line="240" w:lineRule="auto"/>
              <w:jc w:val="right"/>
              <w:rPr>
                <w:rFonts w:eastAsia="Times New Roman"/>
                <w:b/>
                <w:bCs/>
                <w:color w:val="000000"/>
                <w:szCs w:val="24"/>
              </w:rPr>
            </w:pPr>
            <w:r w:rsidRPr="00A57F7A">
              <w:rPr>
                <w:rFonts w:eastAsia="Times New Roman"/>
                <w:b/>
                <w:bCs/>
                <w:color w:val="000000"/>
                <w:szCs w:val="24"/>
              </w:rPr>
              <w:t>n = 39</w:t>
            </w:r>
          </w:p>
        </w:tc>
        <w:tc>
          <w:tcPr>
            <w:tcW w:w="2992" w:type="dxa"/>
            <w:gridSpan w:val="4"/>
            <w:tcBorders>
              <w:top w:val="nil"/>
              <w:left w:val="nil"/>
              <w:bottom w:val="single" w:sz="4" w:space="0" w:color="auto"/>
              <w:right w:val="nil"/>
            </w:tcBorders>
            <w:shd w:val="clear" w:color="auto" w:fill="auto"/>
            <w:noWrap/>
            <w:vAlign w:val="center"/>
            <w:hideMark/>
          </w:tcPr>
          <w:p w14:paraId="3E7F2664" w14:textId="77777777" w:rsidR="006F4D59" w:rsidRPr="00A57F7A" w:rsidRDefault="006F4D59" w:rsidP="006F4D59">
            <w:pPr>
              <w:spacing w:before="0" w:after="0" w:line="240" w:lineRule="auto"/>
              <w:jc w:val="center"/>
              <w:rPr>
                <w:rFonts w:eastAsia="Times New Roman"/>
                <w:b/>
                <w:bCs/>
                <w:color w:val="000000"/>
                <w:szCs w:val="24"/>
              </w:rPr>
            </w:pPr>
            <w:r w:rsidRPr="00A57F7A">
              <w:rPr>
                <w:rFonts w:eastAsia="Times New Roman"/>
                <w:b/>
                <w:bCs/>
                <w:color w:val="000000"/>
                <w:szCs w:val="24"/>
              </w:rPr>
              <w:t>Sources of Information</w:t>
            </w:r>
          </w:p>
        </w:tc>
        <w:tc>
          <w:tcPr>
            <w:tcW w:w="2989" w:type="dxa"/>
            <w:gridSpan w:val="4"/>
            <w:tcBorders>
              <w:top w:val="nil"/>
              <w:left w:val="nil"/>
              <w:bottom w:val="single" w:sz="4" w:space="0" w:color="auto"/>
              <w:right w:val="nil"/>
            </w:tcBorders>
            <w:shd w:val="clear" w:color="auto" w:fill="auto"/>
            <w:noWrap/>
            <w:vAlign w:val="center"/>
            <w:hideMark/>
          </w:tcPr>
          <w:p w14:paraId="2EF0A631" w14:textId="77777777" w:rsidR="006F4D59" w:rsidRPr="00A57F7A" w:rsidRDefault="006F4D59" w:rsidP="006F4D59">
            <w:pPr>
              <w:spacing w:before="0" w:after="0" w:line="240" w:lineRule="auto"/>
              <w:jc w:val="center"/>
              <w:rPr>
                <w:rFonts w:eastAsia="Times New Roman"/>
                <w:b/>
                <w:bCs/>
                <w:color w:val="000000"/>
                <w:szCs w:val="24"/>
              </w:rPr>
            </w:pPr>
            <w:r w:rsidRPr="00A57F7A">
              <w:rPr>
                <w:rFonts w:eastAsia="Times New Roman"/>
                <w:b/>
                <w:bCs/>
                <w:color w:val="000000"/>
                <w:szCs w:val="24"/>
              </w:rPr>
              <w:t>Research Driven Lessons</w:t>
            </w:r>
          </w:p>
        </w:tc>
        <w:tc>
          <w:tcPr>
            <w:tcW w:w="902" w:type="dxa"/>
            <w:tcBorders>
              <w:top w:val="nil"/>
              <w:left w:val="nil"/>
              <w:bottom w:val="nil"/>
              <w:right w:val="nil"/>
            </w:tcBorders>
            <w:shd w:val="clear" w:color="auto" w:fill="auto"/>
            <w:noWrap/>
            <w:vAlign w:val="center"/>
            <w:hideMark/>
          </w:tcPr>
          <w:p w14:paraId="612473CD" w14:textId="77777777" w:rsidR="006F4D59" w:rsidRPr="00A57F7A" w:rsidRDefault="006F4D59" w:rsidP="006F4D59">
            <w:pPr>
              <w:spacing w:before="0" w:after="0" w:line="240" w:lineRule="auto"/>
              <w:jc w:val="center"/>
              <w:rPr>
                <w:rFonts w:eastAsia="Times New Roman"/>
                <w:b/>
                <w:bCs/>
                <w:color w:val="000000"/>
                <w:sz w:val="20"/>
                <w:szCs w:val="20"/>
              </w:rPr>
            </w:pPr>
            <w:r w:rsidRPr="00A57F7A">
              <w:rPr>
                <w:rFonts w:eastAsia="Times New Roman"/>
                <w:b/>
                <w:bCs/>
                <w:color w:val="000000"/>
                <w:sz w:val="20"/>
                <w:szCs w:val="20"/>
              </w:rPr>
              <w:t>Ave %</w:t>
            </w:r>
          </w:p>
        </w:tc>
      </w:tr>
      <w:tr w:rsidR="006F4D59" w:rsidRPr="00A57F7A" w14:paraId="46A9E2A8" w14:textId="77777777" w:rsidTr="006F4D59">
        <w:trPr>
          <w:trHeight w:val="300"/>
        </w:trPr>
        <w:tc>
          <w:tcPr>
            <w:tcW w:w="1737" w:type="dxa"/>
            <w:tcBorders>
              <w:top w:val="nil"/>
              <w:left w:val="nil"/>
              <w:bottom w:val="nil"/>
              <w:right w:val="nil"/>
            </w:tcBorders>
            <w:shd w:val="clear" w:color="auto" w:fill="auto"/>
            <w:noWrap/>
            <w:vAlign w:val="bottom"/>
            <w:hideMark/>
          </w:tcPr>
          <w:p w14:paraId="6D9F7DEA" w14:textId="77777777" w:rsidR="006F4D59" w:rsidRPr="00A57F7A" w:rsidRDefault="006F4D59" w:rsidP="006F4D59">
            <w:pPr>
              <w:spacing w:before="0" w:after="0" w:line="240" w:lineRule="auto"/>
              <w:rPr>
                <w:rFonts w:ascii="Calibri" w:eastAsia="Times New Roman" w:hAnsi="Calibri"/>
                <w:color w:val="000000"/>
                <w:sz w:val="22"/>
              </w:rPr>
            </w:pPr>
          </w:p>
        </w:tc>
        <w:tc>
          <w:tcPr>
            <w:tcW w:w="731" w:type="dxa"/>
            <w:tcBorders>
              <w:top w:val="nil"/>
              <w:left w:val="nil"/>
              <w:bottom w:val="nil"/>
              <w:right w:val="nil"/>
            </w:tcBorders>
            <w:shd w:val="clear" w:color="auto" w:fill="auto"/>
            <w:noWrap/>
            <w:vAlign w:val="center"/>
            <w:hideMark/>
          </w:tcPr>
          <w:p w14:paraId="1AAE59C5"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LA</w:t>
            </w:r>
          </w:p>
        </w:tc>
        <w:tc>
          <w:tcPr>
            <w:tcW w:w="800" w:type="dxa"/>
            <w:tcBorders>
              <w:top w:val="nil"/>
              <w:left w:val="nil"/>
              <w:bottom w:val="nil"/>
              <w:right w:val="nil"/>
            </w:tcBorders>
            <w:shd w:val="clear" w:color="auto" w:fill="auto"/>
            <w:noWrap/>
            <w:vAlign w:val="center"/>
            <w:hideMark/>
          </w:tcPr>
          <w:p w14:paraId="2DB69370"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Math</w:t>
            </w:r>
          </w:p>
        </w:tc>
        <w:tc>
          <w:tcPr>
            <w:tcW w:w="731" w:type="dxa"/>
            <w:tcBorders>
              <w:top w:val="nil"/>
              <w:left w:val="nil"/>
              <w:bottom w:val="nil"/>
              <w:right w:val="nil"/>
            </w:tcBorders>
            <w:shd w:val="clear" w:color="auto" w:fill="auto"/>
            <w:noWrap/>
            <w:vAlign w:val="center"/>
            <w:hideMark/>
          </w:tcPr>
          <w:p w14:paraId="5043045B" w14:textId="77777777" w:rsidR="006F4D59" w:rsidRPr="00A57F7A" w:rsidRDefault="006F4D59" w:rsidP="006F4D59">
            <w:pPr>
              <w:spacing w:before="0" w:after="0" w:line="240" w:lineRule="auto"/>
              <w:jc w:val="center"/>
              <w:rPr>
                <w:rFonts w:eastAsia="Times New Roman"/>
                <w:b/>
                <w:bCs/>
                <w:color w:val="000000"/>
                <w:sz w:val="22"/>
              </w:rPr>
            </w:pPr>
            <w:proofErr w:type="spellStart"/>
            <w:r w:rsidRPr="00A57F7A">
              <w:rPr>
                <w:rFonts w:eastAsia="Times New Roman"/>
                <w:b/>
                <w:bCs/>
                <w:color w:val="000000"/>
                <w:sz w:val="22"/>
              </w:rPr>
              <w:t>Sci</w:t>
            </w:r>
            <w:proofErr w:type="spellEnd"/>
          </w:p>
        </w:tc>
        <w:tc>
          <w:tcPr>
            <w:tcW w:w="730" w:type="dxa"/>
            <w:tcBorders>
              <w:top w:val="nil"/>
              <w:left w:val="nil"/>
              <w:bottom w:val="nil"/>
              <w:right w:val="nil"/>
            </w:tcBorders>
            <w:shd w:val="clear" w:color="auto" w:fill="auto"/>
            <w:noWrap/>
            <w:vAlign w:val="center"/>
            <w:hideMark/>
          </w:tcPr>
          <w:p w14:paraId="360AFAA4"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SS</w:t>
            </w:r>
          </w:p>
        </w:tc>
        <w:tc>
          <w:tcPr>
            <w:tcW w:w="730" w:type="dxa"/>
            <w:tcBorders>
              <w:top w:val="nil"/>
              <w:left w:val="nil"/>
              <w:bottom w:val="nil"/>
              <w:right w:val="nil"/>
            </w:tcBorders>
            <w:shd w:val="clear" w:color="auto" w:fill="auto"/>
            <w:noWrap/>
            <w:vAlign w:val="center"/>
            <w:hideMark/>
          </w:tcPr>
          <w:p w14:paraId="5E3E286A"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LA</w:t>
            </w:r>
          </w:p>
        </w:tc>
        <w:tc>
          <w:tcPr>
            <w:tcW w:w="799" w:type="dxa"/>
            <w:tcBorders>
              <w:top w:val="nil"/>
              <w:left w:val="nil"/>
              <w:bottom w:val="nil"/>
              <w:right w:val="nil"/>
            </w:tcBorders>
            <w:shd w:val="clear" w:color="auto" w:fill="auto"/>
            <w:noWrap/>
            <w:vAlign w:val="center"/>
            <w:hideMark/>
          </w:tcPr>
          <w:p w14:paraId="11A14540"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Math</w:t>
            </w:r>
          </w:p>
        </w:tc>
        <w:tc>
          <w:tcPr>
            <w:tcW w:w="730" w:type="dxa"/>
            <w:tcBorders>
              <w:top w:val="nil"/>
              <w:left w:val="nil"/>
              <w:bottom w:val="nil"/>
              <w:right w:val="nil"/>
            </w:tcBorders>
            <w:shd w:val="clear" w:color="auto" w:fill="auto"/>
            <w:noWrap/>
            <w:vAlign w:val="center"/>
            <w:hideMark/>
          </w:tcPr>
          <w:p w14:paraId="72EA5A73" w14:textId="77777777" w:rsidR="006F4D59" w:rsidRPr="00A57F7A" w:rsidRDefault="006F4D59" w:rsidP="006F4D59">
            <w:pPr>
              <w:spacing w:before="0" w:after="0" w:line="240" w:lineRule="auto"/>
              <w:jc w:val="center"/>
              <w:rPr>
                <w:rFonts w:eastAsia="Times New Roman"/>
                <w:b/>
                <w:bCs/>
                <w:color w:val="000000"/>
                <w:sz w:val="22"/>
              </w:rPr>
            </w:pPr>
            <w:proofErr w:type="spellStart"/>
            <w:r w:rsidRPr="00A57F7A">
              <w:rPr>
                <w:rFonts w:eastAsia="Times New Roman"/>
                <w:b/>
                <w:bCs/>
                <w:color w:val="000000"/>
                <w:sz w:val="22"/>
              </w:rPr>
              <w:t>Sci</w:t>
            </w:r>
            <w:proofErr w:type="spellEnd"/>
          </w:p>
        </w:tc>
        <w:tc>
          <w:tcPr>
            <w:tcW w:w="730" w:type="dxa"/>
            <w:tcBorders>
              <w:top w:val="nil"/>
              <w:left w:val="nil"/>
              <w:bottom w:val="nil"/>
              <w:right w:val="nil"/>
            </w:tcBorders>
            <w:shd w:val="clear" w:color="auto" w:fill="auto"/>
            <w:noWrap/>
            <w:vAlign w:val="center"/>
            <w:hideMark/>
          </w:tcPr>
          <w:p w14:paraId="239CE271" w14:textId="77777777" w:rsidR="006F4D59" w:rsidRPr="00A57F7A" w:rsidRDefault="006F4D59" w:rsidP="006F4D59">
            <w:pPr>
              <w:spacing w:before="0" w:after="0" w:line="240" w:lineRule="auto"/>
              <w:jc w:val="center"/>
              <w:rPr>
                <w:rFonts w:eastAsia="Times New Roman"/>
                <w:b/>
                <w:bCs/>
                <w:color w:val="000000"/>
                <w:sz w:val="22"/>
              </w:rPr>
            </w:pPr>
            <w:r w:rsidRPr="00A57F7A">
              <w:rPr>
                <w:rFonts w:eastAsia="Times New Roman"/>
                <w:b/>
                <w:bCs/>
                <w:color w:val="000000"/>
                <w:sz w:val="22"/>
              </w:rPr>
              <w:t>SS</w:t>
            </w:r>
          </w:p>
        </w:tc>
        <w:tc>
          <w:tcPr>
            <w:tcW w:w="902" w:type="dxa"/>
            <w:tcBorders>
              <w:top w:val="nil"/>
              <w:left w:val="nil"/>
              <w:bottom w:val="nil"/>
              <w:right w:val="nil"/>
            </w:tcBorders>
            <w:shd w:val="clear" w:color="auto" w:fill="auto"/>
            <w:noWrap/>
            <w:vAlign w:val="bottom"/>
            <w:hideMark/>
          </w:tcPr>
          <w:p w14:paraId="54A7DBD8" w14:textId="77777777" w:rsidR="006F4D59" w:rsidRPr="00A57F7A" w:rsidRDefault="006F4D59" w:rsidP="006F4D59">
            <w:pPr>
              <w:spacing w:before="0" w:after="0" w:line="240" w:lineRule="auto"/>
              <w:rPr>
                <w:rFonts w:ascii="Calibri" w:eastAsia="Times New Roman" w:hAnsi="Calibri"/>
                <w:color w:val="000000"/>
                <w:sz w:val="22"/>
              </w:rPr>
            </w:pPr>
          </w:p>
        </w:tc>
      </w:tr>
      <w:tr w:rsidR="006F4D59" w:rsidRPr="00A57F7A" w14:paraId="37775EF3" w14:textId="77777777" w:rsidTr="006F4D59">
        <w:trPr>
          <w:trHeight w:val="300"/>
        </w:trPr>
        <w:tc>
          <w:tcPr>
            <w:tcW w:w="1737" w:type="dxa"/>
            <w:tcBorders>
              <w:top w:val="nil"/>
              <w:left w:val="nil"/>
              <w:bottom w:val="nil"/>
              <w:right w:val="nil"/>
            </w:tcBorders>
            <w:shd w:val="clear" w:color="auto" w:fill="auto"/>
            <w:noWrap/>
            <w:vAlign w:val="center"/>
            <w:hideMark/>
          </w:tcPr>
          <w:p w14:paraId="7E69242A" w14:textId="77777777" w:rsidR="006F4D59" w:rsidRPr="00A57F7A" w:rsidRDefault="006F4D59" w:rsidP="006F4D59">
            <w:pPr>
              <w:spacing w:before="0" w:after="0" w:line="240" w:lineRule="auto"/>
              <w:jc w:val="right"/>
              <w:rPr>
                <w:rFonts w:eastAsia="Times New Roman"/>
                <w:color w:val="000000"/>
                <w:sz w:val="20"/>
                <w:szCs w:val="20"/>
              </w:rPr>
            </w:pPr>
            <w:r w:rsidRPr="00A57F7A">
              <w:rPr>
                <w:rFonts w:eastAsia="Times New Roman"/>
                <w:color w:val="000000"/>
                <w:sz w:val="20"/>
                <w:szCs w:val="20"/>
              </w:rPr>
              <w:t>Exemplary</w:t>
            </w:r>
          </w:p>
        </w:tc>
        <w:tc>
          <w:tcPr>
            <w:tcW w:w="731" w:type="dxa"/>
            <w:tcBorders>
              <w:top w:val="nil"/>
              <w:left w:val="nil"/>
              <w:bottom w:val="nil"/>
              <w:right w:val="nil"/>
            </w:tcBorders>
            <w:shd w:val="clear" w:color="auto" w:fill="auto"/>
            <w:noWrap/>
            <w:vAlign w:val="center"/>
            <w:hideMark/>
          </w:tcPr>
          <w:p w14:paraId="229D56FF"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61%</w:t>
            </w:r>
          </w:p>
        </w:tc>
        <w:tc>
          <w:tcPr>
            <w:tcW w:w="800" w:type="dxa"/>
            <w:tcBorders>
              <w:top w:val="nil"/>
              <w:left w:val="nil"/>
              <w:bottom w:val="nil"/>
              <w:right w:val="nil"/>
            </w:tcBorders>
            <w:shd w:val="clear" w:color="auto" w:fill="auto"/>
            <w:noWrap/>
            <w:vAlign w:val="center"/>
            <w:hideMark/>
          </w:tcPr>
          <w:p w14:paraId="091F324E"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51%</w:t>
            </w:r>
          </w:p>
        </w:tc>
        <w:tc>
          <w:tcPr>
            <w:tcW w:w="731" w:type="dxa"/>
            <w:tcBorders>
              <w:top w:val="nil"/>
              <w:left w:val="nil"/>
              <w:bottom w:val="nil"/>
              <w:right w:val="nil"/>
            </w:tcBorders>
            <w:shd w:val="clear" w:color="auto" w:fill="auto"/>
            <w:noWrap/>
            <w:vAlign w:val="center"/>
            <w:hideMark/>
          </w:tcPr>
          <w:p w14:paraId="0CD9A09F"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73%</w:t>
            </w:r>
          </w:p>
        </w:tc>
        <w:tc>
          <w:tcPr>
            <w:tcW w:w="730" w:type="dxa"/>
            <w:tcBorders>
              <w:top w:val="nil"/>
              <w:left w:val="nil"/>
              <w:bottom w:val="nil"/>
              <w:right w:val="nil"/>
            </w:tcBorders>
            <w:shd w:val="clear" w:color="auto" w:fill="auto"/>
            <w:noWrap/>
            <w:vAlign w:val="center"/>
            <w:hideMark/>
          </w:tcPr>
          <w:p w14:paraId="13F3B5C7"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65%</w:t>
            </w:r>
          </w:p>
        </w:tc>
        <w:tc>
          <w:tcPr>
            <w:tcW w:w="730" w:type="dxa"/>
            <w:tcBorders>
              <w:top w:val="nil"/>
              <w:left w:val="nil"/>
              <w:bottom w:val="nil"/>
              <w:right w:val="nil"/>
            </w:tcBorders>
            <w:shd w:val="clear" w:color="auto" w:fill="auto"/>
            <w:noWrap/>
            <w:vAlign w:val="center"/>
            <w:hideMark/>
          </w:tcPr>
          <w:p w14:paraId="079147BF"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47%</w:t>
            </w:r>
          </w:p>
        </w:tc>
        <w:tc>
          <w:tcPr>
            <w:tcW w:w="799" w:type="dxa"/>
            <w:tcBorders>
              <w:top w:val="nil"/>
              <w:left w:val="nil"/>
              <w:bottom w:val="nil"/>
              <w:right w:val="nil"/>
            </w:tcBorders>
            <w:shd w:val="clear" w:color="auto" w:fill="auto"/>
            <w:noWrap/>
            <w:vAlign w:val="center"/>
            <w:hideMark/>
          </w:tcPr>
          <w:p w14:paraId="6B7A238E"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49%</w:t>
            </w:r>
          </w:p>
        </w:tc>
        <w:tc>
          <w:tcPr>
            <w:tcW w:w="730" w:type="dxa"/>
            <w:tcBorders>
              <w:top w:val="nil"/>
              <w:left w:val="nil"/>
              <w:bottom w:val="nil"/>
              <w:right w:val="nil"/>
            </w:tcBorders>
            <w:shd w:val="clear" w:color="auto" w:fill="auto"/>
            <w:noWrap/>
            <w:vAlign w:val="center"/>
            <w:hideMark/>
          </w:tcPr>
          <w:p w14:paraId="47B2EF21"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54%</w:t>
            </w:r>
          </w:p>
        </w:tc>
        <w:tc>
          <w:tcPr>
            <w:tcW w:w="730" w:type="dxa"/>
            <w:tcBorders>
              <w:top w:val="nil"/>
              <w:left w:val="nil"/>
              <w:bottom w:val="nil"/>
              <w:right w:val="nil"/>
            </w:tcBorders>
            <w:shd w:val="clear" w:color="auto" w:fill="auto"/>
            <w:noWrap/>
            <w:vAlign w:val="center"/>
            <w:hideMark/>
          </w:tcPr>
          <w:p w14:paraId="368C983C"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49%</w:t>
            </w:r>
          </w:p>
        </w:tc>
        <w:tc>
          <w:tcPr>
            <w:tcW w:w="902" w:type="dxa"/>
            <w:tcBorders>
              <w:top w:val="nil"/>
              <w:left w:val="nil"/>
              <w:bottom w:val="nil"/>
              <w:right w:val="nil"/>
            </w:tcBorders>
            <w:shd w:val="clear" w:color="auto" w:fill="auto"/>
            <w:noWrap/>
            <w:vAlign w:val="center"/>
            <w:hideMark/>
          </w:tcPr>
          <w:p w14:paraId="4AB90811"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54%</w:t>
            </w:r>
          </w:p>
        </w:tc>
      </w:tr>
      <w:tr w:rsidR="006F4D59" w:rsidRPr="00A57F7A" w14:paraId="5462556E" w14:textId="77777777" w:rsidTr="006F4D59">
        <w:trPr>
          <w:trHeight w:val="300"/>
        </w:trPr>
        <w:tc>
          <w:tcPr>
            <w:tcW w:w="1737" w:type="dxa"/>
            <w:tcBorders>
              <w:top w:val="nil"/>
              <w:left w:val="nil"/>
              <w:bottom w:val="nil"/>
              <w:right w:val="nil"/>
            </w:tcBorders>
            <w:shd w:val="clear" w:color="auto" w:fill="auto"/>
            <w:noWrap/>
            <w:vAlign w:val="center"/>
            <w:hideMark/>
          </w:tcPr>
          <w:p w14:paraId="798263E5" w14:textId="77777777" w:rsidR="006F4D59" w:rsidRPr="00A57F7A" w:rsidRDefault="006F4D59" w:rsidP="006F4D59">
            <w:pPr>
              <w:spacing w:before="0" w:after="0" w:line="240" w:lineRule="auto"/>
              <w:jc w:val="right"/>
              <w:rPr>
                <w:rFonts w:eastAsia="Times New Roman"/>
                <w:color w:val="000000"/>
                <w:sz w:val="20"/>
                <w:szCs w:val="20"/>
              </w:rPr>
            </w:pPr>
            <w:r w:rsidRPr="00A57F7A">
              <w:rPr>
                <w:rFonts w:eastAsia="Times New Roman"/>
                <w:color w:val="000000"/>
                <w:sz w:val="20"/>
                <w:szCs w:val="20"/>
              </w:rPr>
              <w:t>Proficient</w:t>
            </w:r>
          </w:p>
        </w:tc>
        <w:tc>
          <w:tcPr>
            <w:tcW w:w="731" w:type="dxa"/>
            <w:tcBorders>
              <w:top w:val="nil"/>
              <w:left w:val="nil"/>
              <w:bottom w:val="nil"/>
              <w:right w:val="nil"/>
            </w:tcBorders>
            <w:shd w:val="clear" w:color="auto" w:fill="auto"/>
            <w:noWrap/>
            <w:vAlign w:val="center"/>
            <w:hideMark/>
          </w:tcPr>
          <w:p w14:paraId="1A3F3D4F"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39%</w:t>
            </w:r>
          </w:p>
        </w:tc>
        <w:tc>
          <w:tcPr>
            <w:tcW w:w="800" w:type="dxa"/>
            <w:tcBorders>
              <w:top w:val="nil"/>
              <w:left w:val="nil"/>
              <w:bottom w:val="nil"/>
              <w:right w:val="nil"/>
            </w:tcBorders>
            <w:shd w:val="clear" w:color="auto" w:fill="auto"/>
            <w:noWrap/>
            <w:vAlign w:val="center"/>
            <w:hideMark/>
          </w:tcPr>
          <w:p w14:paraId="071FAF95"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49%</w:t>
            </w:r>
          </w:p>
        </w:tc>
        <w:tc>
          <w:tcPr>
            <w:tcW w:w="731" w:type="dxa"/>
            <w:tcBorders>
              <w:top w:val="nil"/>
              <w:left w:val="nil"/>
              <w:bottom w:val="nil"/>
              <w:right w:val="nil"/>
            </w:tcBorders>
            <w:shd w:val="clear" w:color="auto" w:fill="auto"/>
            <w:noWrap/>
            <w:vAlign w:val="center"/>
            <w:hideMark/>
          </w:tcPr>
          <w:p w14:paraId="659F9D3A"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27%</w:t>
            </w:r>
          </w:p>
        </w:tc>
        <w:tc>
          <w:tcPr>
            <w:tcW w:w="730" w:type="dxa"/>
            <w:tcBorders>
              <w:top w:val="nil"/>
              <w:left w:val="nil"/>
              <w:bottom w:val="nil"/>
              <w:right w:val="nil"/>
            </w:tcBorders>
            <w:shd w:val="clear" w:color="auto" w:fill="auto"/>
            <w:noWrap/>
            <w:vAlign w:val="center"/>
            <w:hideMark/>
          </w:tcPr>
          <w:p w14:paraId="375F9974"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35%</w:t>
            </w:r>
          </w:p>
        </w:tc>
        <w:tc>
          <w:tcPr>
            <w:tcW w:w="730" w:type="dxa"/>
            <w:tcBorders>
              <w:top w:val="nil"/>
              <w:left w:val="nil"/>
              <w:bottom w:val="nil"/>
              <w:right w:val="nil"/>
            </w:tcBorders>
            <w:shd w:val="clear" w:color="auto" w:fill="auto"/>
            <w:noWrap/>
            <w:vAlign w:val="center"/>
            <w:hideMark/>
          </w:tcPr>
          <w:p w14:paraId="698ED9BE"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53%</w:t>
            </w:r>
          </w:p>
        </w:tc>
        <w:tc>
          <w:tcPr>
            <w:tcW w:w="799" w:type="dxa"/>
            <w:tcBorders>
              <w:top w:val="nil"/>
              <w:left w:val="nil"/>
              <w:bottom w:val="nil"/>
              <w:right w:val="nil"/>
            </w:tcBorders>
            <w:shd w:val="clear" w:color="auto" w:fill="auto"/>
            <w:noWrap/>
            <w:vAlign w:val="center"/>
            <w:hideMark/>
          </w:tcPr>
          <w:p w14:paraId="28444FBA"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51%</w:t>
            </w:r>
          </w:p>
        </w:tc>
        <w:tc>
          <w:tcPr>
            <w:tcW w:w="730" w:type="dxa"/>
            <w:tcBorders>
              <w:top w:val="nil"/>
              <w:left w:val="nil"/>
              <w:bottom w:val="nil"/>
              <w:right w:val="nil"/>
            </w:tcBorders>
            <w:shd w:val="clear" w:color="auto" w:fill="auto"/>
            <w:noWrap/>
            <w:vAlign w:val="center"/>
            <w:hideMark/>
          </w:tcPr>
          <w:p w14:paraId="5FB35627"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46%</w:t>
            </w:r>
          </w:p>
        </w:tc>
        <w:tc>
          <w:tcPr>
            <w:tcW w:w="730" w:type="dxa"/>
            <w:tcBorders>
              <w:top w:val="nil"/>
              <w:left w:val="nil"/>
              <w:bottom w:val="nil"/>
              <w:right w:val="nil"/>
            </w:tcBorders>
            <w:shd w:val="clear" w:color="auto" w:fill="auto"/>
            <w:noWrap/>
            <w:vAlign w:val="center"/>
            <w:hideMark/>
          </w:tcPr>
          <w:p w14:paraId="7DFD1039"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51%</w:t>
            </w:r>
          </w:p>
        </w:tc>
        <w:tc>
          <w:tcPr>
            <w:tcW w:w="902" w:type="dxa"/>
            <w:tcBorders>
              <w:top w:val="nil"/>
              <w:left w:val="nil"/>
              <w:bottom w:val="nil"/>
              <w:right w:val="nil"/>
            </w:tcBorders>
            <w:shd w:val="clear" w:color="auto" w:fill="auto"/>
            <w:noWrap/>
            <w:vAlign w:val="center"/>
            <w:hideMark/>
          </w:tcPr>
          <w:p w14:paraId="706456C9"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46%</w:t>
            </w:r>
          </w:p>
        </w:tc>
      </w:tr>
      <w:tr w:rsidR="006F4D59" w:rsidRPr="00A57F7A" w14:paraId="50E897E0" w14:textId="77777777" w:rsidTr="006F4D59">
        <w:trPr>
          <w:trHeight w:val="300"/>
        </w:trPr>
        <w:tc>
          <w:tcPr>
            <w:tcW w:w="1737" w:type="dxa"/>
            <w:tcBorders>
              <w:top w:val="nil"/>
              <w:left w:val="nil"/>
              <w:bottom w:val="nil"/>
              <w:right w:val="nil"/>
            </w:tcBorders>
            <w:shd w:val="clear" w:color="auto" w:fill="auto"/>
            <w:noWrap/>
            <w:vAlign w:val="center"/>
            <w:hideMark/>
          </w:tcPr>
          <w:p w14:paraId="5B7432E7" w14:textId="77777777" w:rsidR="006F4D59" w:rsidRPr="00A57F7A" w:rsidRDefault="006F4D59" w:rsidP="006F4D59">
            <w:pPr>
              <w:spacing w:before="0" w:after="0" w:line="240" w:lineRule="auto"/>
              <w:jc w:val="right"/>
              <w:rPr>
                <w:rFonts w:eastAsia="Times New Roman"/>
                <w:color w:val="000000"/>
                <w:sz w:val="20"/>
                <w:szCs w:val="20"/>
              </w:rPr>
            </w:pPr>
            <w:r w:rsidRPr="00A57F7A">
              <w:rPr>
                <w:rFonts w:eastAsia="Times New Roman"/>
                <w:color w:val="000000"/>
                <w:sz w:val="20"/>
                <w:szCs w:val="20"/>
              </w:rPr>
              <w:t>Developing</w:t>
            </w:r>
          </w:p>
        </w:tc>
        <w:tc>
          <w:tcPr>
            <w:tcW w:w="731" w:type="dxa"/>
            <w:tcBorders>
              <w:top w:val="nil"/>
              <w:left w:val="nil"/>
              <w:bottom w:val="nil"/>
              <w:right w:val="nil"/>
            </w:tcBorders>
            <w:shd w:val="clear" w:color="auto" w:fill="auto"/>
            <w:noWrap/>
            <w:vAlign w:val="center"/>
            <w:hideMark/>
          </w:tcPr>
          <w:p w14:paraId="13D1AEDF"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800" w:type="dxa"/>
            <w:tcBorders>
              <w:top w:val="nil"/>
              <w:left w:val="nil"/>
              <w:bottom w:val="nil"/>
              <w:right w:val="nil"/>
            </w:tcBorders>
            <w:shd w:val="clear" w:color="auto" w:fill="auto"/>
            <w:noWrap/>
            <w:vAlign w:val="center"/>
            <w:hideMark/>
          </w:tcPr>
          <w:p w14:paraId="6E2E6A84"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1" w:type="dxa"/>
            <w:tcBorders>
              <w:top w:val="nil"/>
              <w:left w:val="nil"/>
              <w:bottom w:val="nil"/>
              <w:right w:val="nil"/>
            </w:tcBorders>
            <w:shd w:val="clear" w:color="auto" w:fill="auto"/>
            <w:noWrap/>
            <w:vAlign w:val="center"/>
            <w:hideMark/>
          </w:tcPr>
          <w:p w14:paraId="05B92B10"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2BB5C7E0"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77C1A5A7"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99" w:type="dxa"/>
            <w:tcBorders>
              <w:top w:val="nil"/>
              <w:left w:val="nil"/>
              <w:bottom w:val="nil"/>
              <w:right w:val="nil"/>
            </w:tcBorders>
            <w:shd w:val="clear" w:color="auto" w:fill="auto"/>
            <w:noWrap/>
            <w:vAlign w:val="center"/>
            <w:hideMark/>
          </w:tcPr>
          <w:p w14:paraId="5AFCEA3B"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33B2CF4C"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6DC765BB"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902" w:type="dxa"/>
            <w:tcBorders>
              <w:top w:val="nil"/>
              <w:left w:val="nil"/>
              <w:bottom w:val="nil"/>
              <w:right w:val="nil"/>
            </w:tcBorders>
            <w:shd w:val="clear" w:color="auto" w:fill="auto"/>
            <w:noWrap/>
            <w:vAlign w:val="center"/>
            <w:hideMark/>
          </w:tcPr>
          <w:p w14:paraId="1596AFF2"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r>
      <w:tr w:rsidR="006F4D59" w:rsidRPr="00A57F7A" w14:paraId="48082CFD" w14:textId="77777777" w:rsidTr="006F4D59">
        <w:trPr>
          <w:trHeight w:val="300"/>
        </w:trPr>
        <w:tc>
          <w:tcPr>
            <w:tcW w:w="1737" w:type="dxa"/>
            <w:tcBorders>
              <w:top w:val="nil"/>
              <w:left w:val="nil"/>
              <w:bottom w:val="nil"/>
              <w:right w:val="nil"/>
            </w:tcBorders>
            <w:shd w:val="clear" w:color="auto" w:fill="auto"/>
            <w:noWrap/>
            <w:vAlign w:val="center"/>
            <w:hideMark/>
          </w:tcPr>
          <w:p w14:paraId="061758BA" w14:textId="77777777" w:rsidR="006F4D59" w:rsidRPr="00A57F7A" w:rsidRDefault="006F4D59" w:rsidP="006F4D59">
            <w:pPr>
              <w:spacing w:before="0" w:after="0" w:line="240" w:lineRule="auto"/>
              <w:jc w:val="right"/>
              <w:rPr>
                <w:rFonts w:eastAsia="Times New Roman"/>
                <w:color w:val="000000"/>
                <w:sz w:val="20"/>
                <w:szCs w:val="20"/>
              </w:rPr>
            </w:pPr>
            <w:r w:rsidRPr="00A57F7A">
              <w:rPr>
                <w:rFonts w:eastAsia="Times New Roman"/>
                <w:color w:val="000000"/>
                <w:sz w:val="20"/>
                <w:szCs w:val="20"/>
              </w:rPr>
              <w:t>Unacceptable</w:t>
            </w:r>
          </w:p>
        </w:tc>
        <w:tc>
          <w:tcPr>
            <w:tcW w:w="731" w:type="dxa"/>
            <w:tcBorders>
              <w:top w:val="nil"/>
              <w:left w:val="nil"/>
              <w:bottom w:val="nil"/>
              <w:right w:val="nil"/>
            </w:tcBorders>
            <w:shd w:val="clear" w:color="auto" w:fill="auto"/>
            <w:noWrap/>
            <w:vAlign w:val="center"/>
            <w:hideMark/>
          </w:tcPr>
          <w:p w14:paraId="48B37DB5"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800" w:type="dxa"/>
            <w:tcBorders>
              <w:top w:val="nil"/>
              <w:left w:val="nil"/>
              <w:bottom w:val="nil"/>
              <w:right w:val="nil"/>
            </w:tcBorders>
            <w:shd w:val="clear" w:color="auto" w:fill="auto"/>
            <w:noWrap/>
            <w:vAlign w:val="center"/>
            <w:hideMark/>
          </w:tcPr>
          <w:p w14:paraId="28EA740E"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1" w:type="dxa"/>
            <w:tcBorders>
              <w:top w:val="nil"/>
              <w:left w:val="nil"/>
              <w:bottom w:val="nil"/>
              <w:right w:val="nil"/>
            </w:tcBorders>
            <w:shd w:val="clear" w:color="auto" w:fill="auto"/>
            <w:noWrap/>
            <w:vAlign w:val="center"/>
            <w:hideMark/>
          </w:tcPr>
          <w:p w14:paraId="4572F4C2"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66248EBD"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2384E7D1"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99" w:type="dxa"/>
            <w:tcBorders>
              <w:top w:val="nil"/>
              <w:left w:val="nil"/>
              <w:bottom w:val="nil"/>
              <w:right w:val="nil"/>
            </w:tcBorders>
            <w:shd w:val="clear" w:color="auto" w:fill="auto"/>
            <w:noWrap/>
            <w:vAlign w:val="center"/>
            <w:hideMark/>
          </w:tcPr>
          <w:p w14:paraId="3CBDF9C5"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5F23C0EC"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730" w:type="dxa"/>
            <w:tcBorders>
              <w:top w:val="nil"/>
              <w:left w:val="nil"/>
              <w:bottom w:val="nil"/>
              <w:right w:val="nil"/>
            </w:tcBorders>
            <w:shd w:val="clear" w:color="auto" w:fill="auto"/>
            <w:noWrap/>
            <w:vAlign w:val="center"/>
            <w:hideMark/>
          </w:tcPr>
          <w:p w14:paraId="79AD0D13"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c>
          <w:tcPr>
            <w:tcW w:w="902" w:type="dxa"/>
            <w:tcBorders>
              <w:top w:val="nil"/>
              <w:left w:val="nil"/>
              <w:bottom w:val="nil"/>
              <w:right w:val="nil"/>
            </w:tcBorders>
            <w:shd w:val="clear" w:color="auto" w:fill="auto"/>
            <w:noWrap/>
            <w:vAlign w:val="center"/>
            <w:hideMark/>
          </w:tcPr>
          <w:p w14:paraId="7EDB8EF4"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0%</w:t>
            </w:r>
          </w:p>
        </w:tc>
      </w:tr>
      <w:tr w:rsidR="006F4D59" w:rsidRPr="00A57F7A" w14:paraId="0D9CFD69" w14:textId="77777777" w:rsidTr="006F4D59">
        <w:trPr>
          <w:trHeight w:val="510"/>
        </w:trPr>
        <w:tc>
          <w:tcPr>
            <w:tcW w:w="1737" w:type="dxa"/>
            <w:tcBorders>
              <w:top w:val="nil"/>
              <w:left w:val="nil"/>
              <w:bottom w:val="nil"/>
              <w:right w:val="nil"/>
            </w:tcBorders>
            <w:shd w:val="clear" w:color="auto" w:fill="auto"/>
            <w:vAlign w:val="center"/>
            <w:hideMark/>
          </w:tcPr>
          <w:p w14:paraId="7CB2B39B" w14:textId="77777777" w:rsidR="006F4D59" w:rsidRDefault="006F4D59" w:rsidP="006F4D59">
            <w:pPr>
              <w:spacing w:before="0" w:after="0" w:line="240" w:lineRule="auto"/>
              <w:jc w:val="right"/>
              <w:rPr>
                <w:rFonts w:eastAsia="Times New Roman"/>
                <w:color w:val="000000"/>
                <w:sz w:val="20"/>
                <w:szCs w:val="20"/>
              </w:rPr>
            </w:pPr>
            <w:r w:rsidRPr="00A57F7A">
              <w:rPr>
                <w:rFonts w:eastAsia="Times New Roman"/>
                <w:color w:val="000000"/>
                <w:sz w:val="20"/>
                <w:szCs w:val="20"/>
              </w:rPr>
              <w:t>Exemplary</w:t>
            </w:r>
          </w:p>
          <w:p w14:paraId="6EA14F5F" w14:textId="77777777" w:rsidR="006F4D59" w:rsidRPr="00A57F7A" w:rsidRDefault="006F4D59" w:rsidP="006F4D59">
            <w:pPr>
              <w:spacing w:before="0" w:after="0" w:line="240" w:lineRule="auto"/>
              <w:jc w:val="right"/>
              <w:rPr>
                <w:rFonts w:eastAsia="Times New Roman"/>
                <w:color w:val="000000"/>
                <w:sz w:val="20"/>
                <w:szCs w:val="20"/>
              </w:rPr>
            </w:pPr>
            <w:r w:rsidRPr="00A57F7A">
              <w:rPr>
                <w:rFonts w:eastAsia="Times New Roman"/>
                <w:color w:val="000000"/>
                <w:sz w:val="20"/>
                <w:szCs w:val="20"/>
              </w:rPr>
              <w:t xml:space="preserve"> Proficient</w:t>
            </w:r>
          </w:p>
        </w:tc>
        <w:tc>
          <w:tcPr>
            <w:tcW w:w="731" w:type="dxa"/>
            <w:tcBorders>
              <w:top w:val="nil"/>
              <w:left w:val="nil"/>
              <w:bottom w:val="nil"/>
              <w:right w:val="nil"/>
            </w:tcBorders>
            <w:shd w:val="clear" w:color="auto" w:fill="auto"/>
            <w:noWrap/>
            <w:vAlign w:val="center"/>
            <w:hideMark/>
          </w:tcPr>
          <w:p w14:paraId="3D6ED856"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800" w:type="dxa"/>
            <w:tcBorders>
              <w:top w:val="nil"/>
              <w:left w:val="nil"/>
              <w:bottom w:val="nil"/>
              <w:right w:val="nil"/>
            </w:tcBorders>
            <w:shd w:val="clear" w:color="auto" w:fill="auto"/>
            <w:noWrap/>
            <w:vAlign w:val="center"/>
            <w:hideMark/>
          </w:tcPr>
          <w:p w14:paraId="606E3993" w14:textId="77777777" w:rsidR="006F4D59" w:rsidRPr="00A57F7A" w:rsidRDefault="006F4D59" w:rsidP="006F4D59">
            <w:pPr>
              <w:spacing w:before="0" w:after="0" w:line="240" w:lineRule="auto"/>
              <w:jc w:val="center"/>
              <w:rPr>
                <w:rFonts w:eastAsia="Times New Roman"/>
                <w:color w:val="000000"/>
                <w:sz w:val="20"/>
                <w:szCs w:val="20"/>
              </w:rPr>
            </w:pPr>
            <w:r>
              <w:rPr>
                <w:rFonts w:eastAsia="Times New Roman"/>
                <w:color w:val="000000"/>
                <w:sz w:val="20"/>
                <w:szCs w:val="20"/>
              </w:rPr>
              <w:t>100</w:t>
            </w:r>
            <w:r w:rsidRPr="00A57F7A">
              <w:rPr>
                <w:rFonts w:eastAsia="Times New Roman"/>
                <w:color w:val="000000"/>
                <w:sz w:val="20"/>
                <w:szCs w:val="20"/>
              </w:rPr>
              <w:t>%</w:t>
            </w:r>
          </w:p>
        </w:tc>
        <w:tc>
          <w:tcPr>
            <w:tcW w:w="731" w:type="dxa"/>
            <w:tcBorders>
              <w:top w:val="nil"/>
              <w:left w:val="nil"/>
              <w:bottom w:val="nil"/>
              <w:right w:val="nil"/>
            </w:tcBorders>
            <w:shd w:val="clear" w:color="auto" w:fill="auto"/>
            <w:noWrap/>
            <w:vAlign w:val="center"/>
            <w:hideMark/>
          </w:tcPr>
          <w:p w14:paraId="7FA3B08A"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730" w:type="dxa"/>
            <w:tcBorders>
              <w:top w:val="nil"/>
              <w:left w:val="nil"/>
              <w:bottom w:val="nil"/>
              <w:right w:val="nil"/>
            </w:tcBorders>
            <w:shd w:val="clear" w:color="auto" w:fill="auto"/>
            <w:noWrap/>
            <w:vAlign w:val="center"/>
            <w:hideMark/>
          </w:tcPr>
          <w:p w14:paraId="45B88CCD"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730" w:type="dxa"/>
            <w:tcBorders>
              <w:top w:val="nil"/>
              <w:left w:val="nil"/>
              <w:bottom w:val="nil"/>
              <w:right w:val="nil"/>
            </w:tcBorders>
            <w:shd w:val="clear" w:color="auto" w:fill="auto"/>
            <w:noWrap/>
            <w:vAlign w:val="center"/>
            <w:hideMark/>
          </w:tcPr>
          <w:p w14:paraId="53FE7940"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799" w:type="dxa"/>
            <w:tcBorders>
              <w:top w:val="nil"/>
              <w:left w:val="nil"/>
              <w:bottom w:val="nil"/>
              <w:right w:val="nil"/>
            </w:tcBorders>
            <w:shd w:val="clear" w:color="auto" w:fill="auto"/>
            <w:noWrap/>
            <w:vAlign w:val="center"/>
            <w:hideMark/>
          </w:tcPr>
          <w:p w14:paraId="647E71DA"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730" w:type="dxa"/>
            <w:tcBorders>
              <w:top w:val="nil"/>
              <w:left w:val="nil"/>
              <w:bottom w:val="nil"/>
              <w:right w:val="nil"/>
            </w:tcBorders>
            <w:shd w:val="clear" w:color="auto" w:fill="auto"/>
            <w:noWrap/>
            <w:vAlign w:val="center"/>
            <w:hideMark/>
          </w:tcPr>
          <w:p w14:paraId="61E29DB9"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730" w:type="dxa"/>
            <w:tcBorders>
              <w:top w:val="nil"/>
              <w:left w:val="nil"/>
              <w:bottom w:val="nil"/>
              <w:right w:val="nil"/>
            </w:tcBorders>
            <w:shd w:val="clear" w:color="auto" w:fill="auto"/>
            <w:noWrap/>
            <w:vAlign w:val="center"/>
            <w:hideMark/>
          </w:tcPr>
          <w:p w14:paraId="4DC9A0C4"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c>
          <w:tcPr>
            <w:tcW w:w="902" w:type="dxa"/>
            <w:tcBorders>
              <w:top w:val="nil"/>
              <w:left w:val="nil"/>
              <w:bottom w:val="nil"/>
              <w:right w:val="nil"/>
            </w:tcBorders>
            <w:shd w:val="clear" w:color="auto" w:fill="auto"/>
            <w:noWrap/>
            <w:vAlign w:val="center"/>
            <w:hideMark/>
          </w:tcPr>
          <w:p w14:paraId="4B2961E2" w14:textId="77777777" w:rsidR="006F4D59" w:rsidRPr="00A57F7A" w:rsidRDefault="006F4D59" w:rsidP="006F4D59">
            <w:pPr>
              <w:spacing w:before="0" w:after="0" w:line="240" w:lineRule="auto"/>
              <w:jc w:val="center"/>
              <w:rPr>
                <w:rFonts w:eastAsia="Times New Roman"/>
                <w:color w:val="000000"/>
                <w:sz w:val="20"/>
                <w:szCs w:val="20"/>
              </w:rPr>
            </w:pPr>
            <w:r w:rsidRPr="00A57F7A">
              <w:rPr>
                <w:rFonts w:eastAsia="Times New Roman"/>
                <w:color w:val="000000"/>
                <w:sz w:val="20"/>
                <w:szCs w:val="20"/>
              </w:rPr>
              <w:t>100%</w:t>
            </w:r>
          </w:p>
        </w:tc>
      </w:tr>
    </w:tbl>
    <w:p w14:paraId="5AB2649C" w14:textId="77777777" w:rsidR="006F4D59" w:rsidRDefault="006F4D59" w:rsidP="00D14E9C"/>
    <w:p w14:paraId="08CA88BF" w14:textId="77777777" w:rsidR="006F4D59" w:rsidRDefault="006F4D59" w:rsidP="00D14E9C"/>
    <w:p w14:paraId="5CECB338" w14:textId="77777777" w:rsidR="006F4D59" w:rsidRDefault="006F4D59" w:rsidP="00D14E9C"/>
    <w:p w14:paraId="7FA44F25" w14:textId="77777777" w:rsidR="006F4D59" w:rsidRDefault="006F4D59" w:rsidP="00D14E9C"/>
    <w:p w14:paraId="5D7D3C8B" w14:textId="77777777" w:rsidR="006F4D59" w:rsidRDefault="006F4D59" w:rsidP="00D14E9C"/>
    <w:p w14:paraId="28889550" w14:textId="77777777" w:rsidR="006F4D59" w:rsidRDefault="006F4D59" w:rsidP="00D14E9C"/>
    <w:p w14:paraId="1AD4D85C" w14:textId="77777777" w:rsidR="006F4D59" w:rsidRDefault="006F4D59" w:rsidP="00D14E9C"/>
    <w:p w14:paraId="727D0109" w14:textId="77777777" w:rsidR="006F4D59" w:rsidRDefault="006F4D59" w:rsidP="00D14E9C"/>
    <w:p w14:paraId="409D9847" w14:textId="77777777" w:rsidR="006F4D59" w:rsidRDefault="006F4D59" w:rsidP="00D14E9C"/>
    <w:p w14:paraId="78E7A5BE" w14:textId="77777777" w:rsidR="006F4D59" w:rsidRDefault="006F4D59" w:rsidP="00D14E9C"/>
    <w:p w14:paraId="69CE74F0" w14:textId="77777777" w:rsidR="006F4D59" w:rsidRDefault="006F4D59" w:rsidP="00D14E9C"/>
    <w:p w14:paraId="30691266" w14:textId="77777777" w:rsidR="006F4D59" w:rsidRDefault="006F4D59" w:rsidP="00D14E9C"/>
    <w:p w14:paraId="49F3AC85" w14:textId="77777777" w:rsidR="006F4D59" w:rsidRDefault="006F4D59" w:rsidP="00D14E9C"/>
    <w:p w14:paraId="242E3F83" w14:textId="77777777" w:rsidR="006F4D59" w:rsidRDefault="006F4D59" w:rsidP="00D14E9C"/>
    <w:p w14:paraId="1D474C39" w14:textId="77777777" w:rsidR="006F4D59" w:rsidRDefault="006F4D59" w:rsidP="00D14E9C"/>
    <w:p w14:paraId="5343F30F" w14:textId="77777777" w:rsidR="006F4D59" w:rsidRDefault="006F4D59" w:rsidP="00D14E9C"/>
    <w:p w14:paraId="70D063CF" w14:textId="77777777" w:rsidR="00A57F7A" w:rsidRDefault="008F4631" w:rsidP="006F4D59">
      <w:r w:rsidRPr="002B3BE1">
        <w:t>While not available on Table 12, a review of the previous accreditation review shows a 10% decrease in total Exemplar</w:t>
      </w:r>
      <w:r w:rsidR="002B3BE1">
        <w:t>y responses</w:t>
      </w:r>
      <w:r w:rsidRPr="002B3BE1">
        <w:t xml:space="preserve"> for this review but an 11% increase in Proficiencies.  That is, the number of Developing scores decreased by 1% and with one small exception</w:t>
      </w:r>
      <w:r w:rsidR="006F4D59" w:rsidRPr="002B3BE1">
        <w:t>, 100</w:t>
      </w:r>
      <w:r w:rsidRPr="002B3BE1">
        <w:t>% of the MSTA scores w</w:t>
      </w:r>
      <w:r w:rsidR="006F4D59">
        <w:t>ere</w:t>
      </w:r>
      <w:r w:rsidRPr="002B3BE1">
        <w:t xml:space="preserve"> proficient with over half of the proficient scores reaching the level of Exemplary</w:t>
      </w:r>
      <w:r>
        <w:t xml:space="preserve">. </w:t>
      </w:r>
    </w:p>
    <w:p w14:paraId="0591E27B" w14:textId="77777777" w:rsidR="00BF5F57" w:rsidRDefault="00BF5F57" w:rsidP="00A57F7A">
      <w:r>
        <w:t>To perhaps gain a better grasp of all of the scores in Table 12, Chart 1 is presented</w:t>
      </w:r>
      <w:r w:rsidR="006F4D59">
        <w:t xml:space="preserve"> below</w:t>
      </w:r>
      <w:r>
        <w:t xml:space="preserve"> to show how acquisition of each of the four indicators may or may not differ among themselves or within each individual indicator.  </w:t>
      </w:r>
    </w:p>
    <w:p w14:paraId="48AA39E9" w14:textId="77777777" w:rsidR="002B3BE1" w:rsidRDefault="00BF5F57" w:rsidP="00A57F7A">
      <w:r>
        <w:t xml:space="preserve">Looking at the Content Knowledge scores, it can be seen the Exemplary and Proficient scores were earned with approximately the same frequency though Proficient has a bit of a tendency to </w:t>
      </w:r>
      <w:r w:rsidR="006F4D59">
        <w:t>s</w:t>
      </w:r>
      <w:r>
        <w:t>how more responses</w:t>
      </w:r>
      <w:r w:rsidR="006F4D59">
        <w:t xml:space="preserve"> than Exemplary</w:t>
      </w:r>
      <w:r>
        <w:t xml:space="preserve">.  On the other hand, Content Alignment has a stronger set of Exemplary responses than does Proficient and equally notable, science has a </w:t>
      </w:r>
      <w:r w:rsidR="0028192B">
        <w:t>clear</w:t>
      </w:r>
      <w:r>
        <w:t xml:space="preserve"> lead in Exemplar</w:t>
      </w:r>
      <w:r w:rsidR="0028192B">
        <w:t>y responses</w:t>
      </w:r>
      <w:r>
        <w:t xml:space="preserve">. This same trend is even more pronounced with Sources of Information </w:t>
      </w:r>
      <w:r w:rsidR="002B3BE1">
        <w:t>where the Exemplary responses have a strong showing relative to the Proficient frequencies; however, the good news is a rating of Proficiency in itself signifies candidates</w:t>
      </w:r>
      <w:r w:rsidR="0028192B">
        <w:t xml:space="preserve"> are perceived by their supervising classroom teachers as being successful</w:t>
      </w:r>
      <w:r w:rsidR="002B3BE1">
        <w:t xml:space="preserve">, and hence, </w:t>
      </w:r>
      <w:r w:rsidR="0028192B">
        <w:t xml:space="preserve">these candidates were prepared in </w:t>
      </w:r>
      <w:r w:rsidR="002B3BE1">
        <w:t>a successful teacher education program</w:t>
      </w:r>
      <w:r w:rsidR="0028192B">
        <w:t xml:space="preserve"> to the extent the MSTA assesses</w:t>
      </w:r>
      <w:r w:rsidR="002B3BE1">
        <w:t xml:space="preserve">.  Finally, it is noted that Research Driven Lessons has very similar qualities as Content Knowledge.  </w:t>
      </w:r>
    </w:p>
    <w:p w14:paraId="457C8672" w14:textId="77777777" w:rsidR="0028192B" w:rsidRDefault="0028192B" w:rsidP="00A57F7A"/>
    <w:p w14:paraId="553EA558" w14:textId="77777777" w:rsidR="00641772" w:rsidRDefault="0028192B" w:rsidP="00641772">
      <w:pPr>
        <w:rPr>
          <w:b/>
          <w:i/>
        </w:rPr>
      </w:pPr>
      <w:r>
        <w:rPr>
          <w:noProof/>
        </w:rPr>
        <w:lastRenderedPageBreak/>
        <mc:AlternateContent>
          <mc:Choice Requires="wps">
            <w:drawing>
              <wp:anchor distT="0" distB="0" distL="114300" distR="114300" simplePos="0" relativeHeight="251673600" behindDoc="0" locked="0" layoutInCell="1" allowOverlap="1" wp14:anchorId="6F532E4F" wp14:editId="65248D80">
                <wp:simplePos x="0" y="0"/>
                <wp:positionH relativeFrom="column">
                  <wp:posOffset>1282700</wp:posOffset>
                </wp:positionH>
                <wp:positionV relativeFrom="paragraph">
                  <wp:posOffset>60960</wp:posOffset>
                </wp:positionV>
                <wp:extent cx="3134995" cy="326390"/>
                <wp:effectExtent l="0" t="0" r="27305" b="165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326390"/>
                        </a:xfrm>
                        <a:prstGeom prst="rect">
                          <a:avLst/>
                        </a:prstGeom>
                        <a:solidFill>
                          <a:srgbClr val="FFFFFF"/>
                        </a:solidFill>
                        <a:ln w="9525">
                          <a:solidFill>
                            <a:srgbClr val="000000"/>
                          </a:solidFill>
                          <a:miter lim="800000"/>
                          <a:headEnd/>
                          <a:tailEnd/>
                        </a:ln>
                      </wps:spPr>
                      <wps:txbx>
                        <w:txbxContent>
                          <w:p w14:paraId="3DAADC48" w14:textId="77777777" w:rsidR="001B506F" w:rsidRPr="00413559" w:rsidRDefault="001B506F">
                            <w:pPr>
                              <w:rPr>
                                <w:b/>
                                <w:color w:val="000000" w:themeColor="text1"/>
                                <w:sz w:val="26"/>
                                <w:szCs w:val="26"/>
                              </w:rPr>
                            </w:pPr>
                            <w:r>
                              <w:rPr>
                                <w:b/>
                                <w:color w:val="000000" w:themeColor="text1"/>
                                <w:sz w:val="26"/>
                                <w:szCs w:val="26"/>
                              </w:rPr>
                              <w:t>Chart 1</w:t>
                            </w:r>
                            <w:r w:rsidRPr="00413559">
                              <w:rPr>
                                <w:b/>
                                <w:color w:val="000000" w:themeColor="text1"/>
                                <w:sz w:val="26"/>
                                <w:szCs w:val="26"/>
                              </w:rPr>
                              <w:t>: MSTA Average 2014-17 Scores</w:t>
                            </w:r>
                            <w:r>
                              <w:rPr>
                                <w:b/>
                                <w:color w:val="000000" w:themeColor="text1"/>
                                <w:sz w:val="26"/>
                                <w:szCs w:val="26"/>
                              </w:rPr>
                              <w:t xml:space="preserve">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01pt;margin-top:4.8pt;width:246.85pt;height: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">
                <v:textbox>
                  <w:txbxContent>
                    <w:p w:rsidR="001B506F" w:rsidRPr="00413559" w:rsidRDefault="001B506F">
                      <w:pPr>
                        <w:rPr>
                          <w:b/>
                          <w:color w:val="000000" w:themeColor="text1"/>
                          <w:sz w:val="26"/>
                          <w:szCs w:val="26"/>
                        </w:rPr>
                      </w:pPr>
                      <w:r>
                        <w:rPr>
                          <w:b/>
                          <w:color w:val="000000" w:themeColor="text1"/>
                          <w:sz w:val="26"/>
                          <w:szCs w:val="26"/>
                        </w:rPr>
                        <w:t>Chart 1</w:t>
                      </w:r>
                      <w:r w:rsidRPr="00413559">
                        <w:rPr>
                          <w:b/>
                          <w:color w:val="000000" w:themeColor="text1"/>
                          <w:sz w:val="26"/>
                          <w:szCs w:val="26"/>
                        </w:rPr>
                        <w:t>: MSTA Average 2014-17 Scores</w:t>
                      </w:r>
                      <w:r>
                        <w:rPr>
                          <w:b/>
                          <w:color w:val="000000" w:themeColor="text1"/>
                          <w:sz w:val="26"/>
                          <w:szCs w:val="26"/>
                        </w:rPr>
                        <w:t xml:space="preserve"> by </w:t>
                      </w:r>
                    </w:p>
                  </w:txbxContent>
                </v:textbox>
              </v:shape>
            </w:pict>
          </mc:Fallback>
        </mc:AlternateContent>
      </w:r>
      <w:r>
        <w:rPr>
          <w:noProof/>
        </w:rPr>
        <w:drawing>
          <wp:inline distT="0" distB="0" distL="0" distR="0" wp14:anchorId="46554AA1" wp14:editId="511CE83D">
            <wp:extent cx="5943600" cy="3615055"/>
            <wp:effectExtent l="0" t="0" r="19050" b="234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5A0A51" w14:textId="77777777" w:rsidR="00CA160D" w:rsidRPr="00641772" w:rsidRDefault="00CA160D" w:rsidP="00641772">
      <w:r w:rsidRPr="00641772">
        <w:t>The candidate is given an overall score on this assessment, which then serves as the second of three evaluations that comprise the MACK.   The third and final score</w:t>
      </w:r>
      <w:r w:rsidR="00413559" w:rsidRPr="00641772">
        <w:t xml:space="preserve"> for the MACK</w:t>
      </w:r>
      <w:r w:rsidRPr="00641772">
        <w:t xml:space="preserve"> is taken from the PRAXIS II the outcomes of which are presented below.</w:t>
      </w:r>
    </w:p>
    <w:p w14:paraId="1C4AAE1A" w14:textId="77777777" w:rsidR="00CA160D" w:rsidRDefault="00413559" w:rsidP="00E755E4">
      <w:pPr>
        <w:pStyle w:val="Heading3"/>
      </w:pPr>
      <w:r>
        <w:t xml:space="preserve">    </w:t>
      </w:r>
      <w:bookmarkStart w:id="35" w:name="_Toc493221895"/>
      <w:r w:rsidRPr="00413559">
        <w:t>PRAXIS II</w:t>
      </w:r>
      <w:r>
        <w:t>.</w:t>
      </w:r>
      <w:bookmarkEnd w:id="35"/>
    </w:p>
    <w:p w14:paraId="7805EBC4" w14:textId="77777777" w:rsidR="00413559" w:rsidRDefault="00413559" w:rsidP="00413559">
      <w:r>
        <w:t>T</w:t>
      </w:r>
      <w:r w:rsidRPr="00CD3399">
        <w:t xml:space="preserve">he PRAXIS </w:t>
      </w:r>
      <w:r>
        <w:t xml:space="preserve">II is an assessment </w:t>
      </w:r>
      <w:r w:rsidRPr="00CD3399">
        <w:t xml:space="preserve">constructed by the Educational Testing Service (ETS).   The PRAXIS </w:t>
      </w:r>
      <w:r>
        <w:t xml:space="preserve">II </w:t>
      </w:r>
      <w:r w:rsidRPr="00CD3399">
        <w:t xml:space="preserve">is the name, not acronym, of a commonly used test for licensure and certification throughout the nation.  </w:t>
      </w:r>
      <w:r>
        <w:t>The PRAXIS II, with some exceptions, assigns a score of 100 to the lowest score and 200 to the highest and linearly divides the score assignments proportionally between.  In general, the scale is interval but not ratio given it does not have a true zero.  This is to say, there is in general the same distance between equal intervals on the PRAXIS II score scale, but the scores to not lend themselves to ratio relationships.</w:t>
      </w:r>
    </w:p>
    <w:p w14:paraId="1632B39E" w14:textId="77777777" w:rsidR="00413559" w:rsidRDefault="00413559" w:rsidP="00413559">
      <w:r>
        <w:t>Passing the PRAXIS</w:t>
      </w:r>
      <w:r w:rsidR="00D931AD">
        <w:t xml:space="preserve"> II</w:t>
      </w:r>
      <w:r>
        <w:t xml:space="preserve"> is a common requirement </w:t>
      </w:r>
      <w:r w:rsidRPr="00B17D5C">
        <w:t>for the Elementary and Secondary programs in</w:t>
      </w:r>
      <w:r>
        <w:t xml:space="preserve"> the Division of Education prior to licensure.   However, the scores are not easily compared across programs given each program has its own unique assessment depending upon academic content and level of licensure thereof.  </w:t>
      </w:r>
    </w:p>
    <w:p w14:paraId="32218027" w14:textId="77777777" w:rsidR="00D97199" w:rsidRDefault="00D97199">
      <w:pPr>
        <w:spacing w:before="0" w:after="200"/>
      </w:pPr>
      <w:r>
        <w:br w:type="page"/>
      </w:r>
    </w:p>
    <w:p w14:paraId="4A3E2425" w14:textId="77777777" w:rsidR="00413559" w:rsidRDefault="00413559" w:rsidP="002142B6">
      <w:r>
        <w:lastRenderedPageBreak/>
        <w:t xml:space="preserve">The </w:t>
      </w:r>
      <w:r w:rsidR="0088040E">
        <w:t>Chart</w:t>
      </w:r>
      <w:r>
        <w:t xml:space="preserve"> below presents the available PRAXIS</w:t>
      </w:r>
      <w:r w:rsidR="00D931AD">
        <w:t xml:space="preserve"> II</w:t>
      </w:r>
      <w:r>
        <w:t xml:space="preserve"> scores</w:t>
      </w:r>
      <w:r w:rsidR="00D931AD">
        <w:t xml:space="preserve"> received during the 2014 to 2017</w:t>
      </w:r>
      <w:r w:rsidR="0011623D">
        <w:t xml:space="preserve"> time</w:t>
      </w:r>
      <w:r w:rsidR="00D931AD">
        <w:t xml:space="preserve"> period</w:t>
      </w:r>
      <w:r w:rsidR="003E5D3B">
        <w:t xml:space="preserve"> from 61 students across all four departments</w:t>
      </w:r>
      <w:r w:rsidR="0011623D">
        <w:t>.</w:t>
      </w:r>
    </w:p>
    <w:p w14:paraId="4CFD8053" w14:textId="77777777" w:rsidR="00D01F65" w:rsidRDefault="00D97199" w:rsidP="002142B6">
      <w:r>
        <w:rPr>
          <w:noProof/>
        </w:rPr>
        <w:drawing>
          <wp:anchor distT="0" distB="0" distL="114300" distR="114300" simplePos="0" relativeHeight="251674624" behindDoc="1" locked="0" layoutInCell="1" allowOverlap="1" wp14:anchorId="5D065FA0" wp14:editId="588F5371">
            <wp:simplePos x="0" y="0"/>
            <wp:positionH relativeFrom="column">
              <wp:posOffset>134620</wp:posOffset>
            </wp:positionH>
            <wp:positionV relativeFrom="paragraph">
              <wp:posOffset>117475</wp:posOffset>
            </wp:positionV>
            <wp:extent cx="5943600" cy="3982085"/>
            <wp:effectExtent l="0" t="0" r="19050" b="18415"/>
            <wp:wrapTight wrapText="bothSides">
              <wp:wrapPolygon edited="0">
                <wp:start x="0" y="0"/>
                <wp:lineTo x="0" y="21597"/>
                <wp:lineTo x="21600" y="21597"/>
                <wp:lineTo x="21600"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430C4AC" w14:textId="77777777" w:rsidR="00D01F65" w:rsidRPr="00D01F65" w:rsidRDefault="00D01F65" w:rsidP="002142B6"/>
    <w:p w14:paraId="4DF5D020" w14:textId="77777777" w:rsidR="00D01F65" w:rsidRDefault="00D01F65" w:rsidP="002142B6"/>
    <w:p w14:paraId="6A3E4D10" w14:textId="77777777" w:rsidR="00D97199" w:rsidRDefault="00D97199" w:rsidP="002142B6"/>
    <w:p w14:paraId="731F5F29" w14:textId="77777777" w:rsidR="00D97199" w:rsidRDefault="00D97199" w:rsidP="002142B6"/>
    <w:p w14:paraId="1592ADDF" w14:textId="77777777" w:rsidR="00D97199" w:rsidRDefault="00D97199" w:rsidP="002142B6"/>
    <w:p w14:paraId="3724EECC" w14:textId="77777777" w:rsidR="00D97199" w:rsidRDefault="00D97199" w:rsidP="002142B6"/>
    <w:p w14:paraId="1EE9D716" w14:textId="77777777" w:rsidR="00D97199" w:rsidRDefault="00D97199" w:rsidP="002142B6"/>
    <w:p w14:paraId="0BED2BB4" w14:textId="77777777" w:rsidR="00D97199" w:rsidRDefault="00D97199" w:rsidP="002142B6"/>
    <w:p w14:paraId="24B26186" w14:textId="77777777" w:rsidR="00D97199" w:rsidRDefault="00D97199" w:rsidP="002142B6"/>
    <w:p w14:paraId="6A540FF1" w14:textId="77777777" w:rsidR="00D97199" w:rsidRDefault="00D97199" w:rsidP="002142B6"/>
    <w:p w14:paraId="35F48E95" w14:textId="77777777" w:rsidR="00D97199" w:rsidRDefault="00D97199" w:rsidP="002142B6"/>
    <w:p w14:paraId="020EB18A" w14:textId="77777777" w:rsidR="00D97199" w:rsidRDefault="00D97199" w:rsidP="002142B6"/>
    <w:p w14:paraId="08BDB295" w14:textId="77777777" w:rsidR="00D97199" w:rsidRDefault="00D97199" w:rsidP="002142B6">
      <w:r>
        <w:t xml:space="preserve">The elementary scores are in blue, the </w:t>
      </w:r>
      <w:r w:rsidR="00A0785D">
        <w:t>math score is in green,</w:t>
      </w:r>
      <w:r w:rsidR="00B3625D">
        <w:t xml:space="preserve"> the P-3 is in red,</w:t>
      </w:r>
      <w:r w:rsidR="00A0785D">
        <w:t xml:space="preserve"> and the </w:t>
      </w:r>
      <w:r>
        <w:t>science scores are in orange</w:t>
      </w:r>
      <w:r w:rsidR="003E5D3B">
        <w:t>. The red horizontal bar represents the 50</w:t>
      </w:r>
      <w:r w:rsidR="003E5D3B" w:rsidRPr="003E5D3B">
        <w:rPr>
          <w:vertAlign w:val="superscript"/>
        </w:rPr>
        <w:t>th</w:t>
      </w:r>
      <w:r w:rsidR="003E5D3B">
        <w:t xml:space="preserve"> percentile, which is the approximate level necessary to pass the PRAXIS II.  </w:t>
      </w:r>
      <w:r>
        <w:t xml:space="preserve"> </w:t>
      </w:r>
      <w:r w:rsidR="003E5D3B">
        <w:t xml:space="preserve">Scores falling less than 123 do not receive any MACK points; scores between 123 and 138 are scaled as 1 MACK point; 139 to 153 receive 2 MACK points; 154-180 </w:t>
      </w:r>
      <w:r w:rsidR="00C00FE2">
        <w:t>receive 3 MACK points, and 181 to 200 are assigned 4 MACK points.  A score of 181 is at the 95</w:t>
      </w:r>
      <w:r w:rsidR="00C00FE2" w:rsidRPr="00C00FE2">
        <w:rPr>
          <w:vertAlign w:val="superscript"/>
        </w:rPr>
        <w:t>th</w:t>
      </w:r>
      <w:r w:rsidR="00C00FE2">
        <w:t xml:space="preserve"> percentile, so a candidate requires a score having a rank at the 95 percentile or higher in order to receive all four points.</w:t>
      </w:r>
      <w:r w:rsidR="003E5D3B">
        <w:t xml:space="preserve"> </w:t>
      </w:r>
    </w:p>
    <w:p w14:paraId="7078C17D" w14:textId="77777777" w:rsidR="00C00FE2" w:rsidRDefault="00C00FE2" w:rsidP="002142B6">
      <w:r>
        <w:t>A score of 140 is still within the average range (25</w:t>
      </w:r>
      <w:r w:rsidRPr="00C00FE2">
        <w:rPr>
          <w:vertAlign w:val="superscript"/>
        </w:rPr>
        <w:t>th</w:t>
      </w:r>
      <w:r>
        <w:t xml:space="preserve"> percentile) but receives 2 MACK points.  It would be very difficult for any candidate retaking the PRAXIS II to go from a score of 140 (2 MACK Points) to </w:t>
      </w:r>
      <w:r w:rsidR="00FA392F">
        <w:t>154, the lowest PRAXIS II score that receives 3 MACK points.  As can be seen in Chart 2, there are seven candidates with scores within that range who could possibly bump up to 3 MACK points, but it is very difficult to go from the 25</w:t>
      </w:r>
      <w:r w:rsidR="00FA392F" w:rsidRPr="00FA392F">
        <w:rPr>
          <w:vertAlign w:val="superscript"/>
        </w:rPr>
        <w:t>th</w:t>
      </w:r>
      <w:r w:rsidR="00FA392F">
        <w:t xml:space="preserve"> percentile to the 50</w:t>
      </w:r>
      <w:r w:rsidR="00FA392F" w:rsidRPr="00FA392F">
        <w:rPr>
          <w:vertAlign w:val="superscript"/>
        </w:rPr>
        <w:t>th</w:t>
      </w:r>
      <w:r w:rsidR="00FA392F">
        <w:t xml:space="preserve"> percentile on a nationally normed test.  </w:t>
      </w:r>
    </w:p>
    <w:p w14:paraId="63A3D48E" w14:textId="77777777" w:rsidR="00413559" w:rsidRDefault="00413559">
      <w:pPr>
        <w:spacing w:before="0" w:after="200"/>
      </w:pPr>
      <w:r>
        <w:br w:type="page"/>
      </w:r>
    </w:p>
    <w:p w14:paraId="1F1E3BC2" w14:textId="77777777" w:rsidR="00045291" w:rsidRDefault="00B73EE0" w:rsidP="00FA392F">
      <w:pPr>
        <w:pStyle w:val="Caption"/>
        <w:rPr>
          <w:rFonts w:eastAsiaTheme="majorEastAsia" w:cstheme="majorBidi"/>
          <w:b w:val="0"/>
          <w:bCs w:val="0"/>
          <w:color w:val="000000" w:themeColor="text1"/>
          <w:sz w:val="26"/>
          <w:szCs w:val="28"/>
        </w:rPr>
      </w:pPr>
      <w:r>
        <w:rPr>
          <w:noProof/>
        </w:rPr>
        <w:lastRenderedPageBreak/>
        <w:drawing>
          <wp:anchor distT="0" distB="0" distL="114300" distR="114300" simplePos="0" relativeHeight="251675648" behindDoc="1" locked="0" layoutInCell="1" allowOverlap="1" wp14:anchorId="0D80F97C" wp14:editId="27EFBEF3">
            <wp:simplePos x="0" y="0"/>
            <wp:positionH relativeFrom="column">
              <wp:posOffset>50800</wp:posOffset>
            </wp:positionH>
            <wp:positionV relativeFrom="paragraph">
              <wp:posOffset>125730</wp:posOffset>
            </wp:positionV>
            <wp:extent cx="5943600" cy="3761740"/>
            <wp:effectExtent l="0" t="0" r="19050" b="10160"/>
            <wp:wrapTight wrapText="bothSides">
              <wp:wrapPolygon edited="0">
                <wp:start x="0" y="0"/>
                <wp:lineTo x="0" y="21549"/>
                <wp:lineTo x="21600" y="21549"/>
                <wp:lineTo x="21600"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65E731BA" w14:textId="77777777" w:rsidR="00FA392F" w:rsidRDefault="00FA392F">
      <w:pPr>
        <w:spacing w:before="0" w:after="200"/>
      </w:pPr>
    </w:p>
    <w:p w14:paraId="716BABDF" w14:textId="77777777" w:rsidR="00FA392F" w:rsidRDefault="00FA392F">
      <w:pPr>
        <w:spacing w:before="0" w:after="200"/>
      </w:pPr>
    </w:p>
    <w:p w14:paraId="4AAD7B27" w14:textId="77777777" w:rsidR="00FA392F" w:rsidRDefault="00FA392F">
      <w:pPr>
        <w:spacing w:before="0" w:after="200"/>
      </w:pPr>
    </w:p>
    <w:p w14:paraId="7C5A6BCB" w14:textId="77777777" w:rsidR="00FA392F" w:rsidRDefault="00FA392F">
      <w:pPr>
        <w:spacing w:before="0" w:after="200"/>
      </w:pPr>
    </w:p>
    <w:p w14:paraId="33E648C7" w14:textId="77777777" w:rsidR="00FA392F" w:rsidRDefault="00FA392F">
      <w:pPr>
        <w:spacing w:before="0" w:after="200"/>
      </w:pPr>
    </w:p>
    <w:p w14:paraId="2482C1DA" w14:textId="77777777" w:rsidR="00FA392F" w:rsidRDefault="00FA392F">
      <w:pPr>
        <w:spacing w:before="0" w:after="200"/>
      </w:pPr>
    </w:p>
    <w:p w14:paraId="47538D94" w14:textId="77777777" w:rsidR="00FA392F" w:rsidRDefault="00FA392F">
      <w:pPr>
        <w:spacing w:before="0" w:after="200"/>
      </w:pPr>
    </w:p>
    <w:p w14:paraId="6B6B483F" w14:textId="77777777" w:rsidR="00FA392F" w:rsidRDefault="00FA392F">
      <w:pPr>
        <w:spacing w:before="0" w:after="200"/>
      </w:pPr>
    </w:p>
    <w:p w14:paraId="0DBF7ECB" w14:textId="77777777" w:rsidR="00FA392F" w:rsidRDefault="00FA392F">
      <w:pPr>
        <w:spacing w:before="0" w:after="200"/>
      </w:pPr>
    </w:p>
    <w:p w14:paraId="066FE66D" w14:textId="77777777" w:rsidR="00FA392F" w:rsidRDefault="00FA392F">
      <w:pPr>
        <w:spacing w:before="0" w:after="200"/>
      </w:pPr>
    </w:p>
    <w:p w14:paraId="0DE78B50" w14:textId="77777777" w:rsidR="00FA392F" w:rsidRDefault="00FA392F">
      <w:pPr>
        <w:spacing w:before="0" w:after="200"/>
      </w:pPr>
    </w:p>
    <w:p w14:paraId="06D839E2" w14:textId="77777777" w:rsidR="00FA392F" w:rsidRDefault="00FA392F" w:rsidP="00FA392F">
      <w:pPr>
        <w:spacing w:before="0" w:after="200"/>
      </w:pPr>
      <w:r w:rsidRPr="00FA392F">
        <w:t xml:space="preserve">The above chart reflects the four elementary content areas </w:t>
      </w:r>
      <w:r w:rsidR="00B3625D">
        <w:t>from the</w:t>
      </w:r>
      <w:r w:rsidRPr="00FA392F">
        <w:t xml:space="preserve"> </w:t>
      </w:r>
      <w:r w:rsidR="00D21286">
        <w:t>PRAXIS II</w:t>
      </w:r>
      <w:r w:rsidRPr="00FA392F">
        <w:t xml:space="preserve"> scaled scores.  The mathematical procedures used by ETS to scale these scores is not clear; however, the scores across content areas within the elementary domain </w:t>
      </w:r>
      <w:r w:rsidR="00B3625D">
        <w:t>are</w:t>
      </w:r>
      <w:r w:rsidRPr="00FA392F">
        <w:t xml:space="preserve"> </w:t>
      </w:r>
      <w:r w:rsidR="00D21286" w:rsidRPr="00FA392F">
        <w:t>comparable</w:t>
      </w:r>
      <w:r w:rsidRPr="00FA392F">
        <w:t xml:space="preserve"> given the apparent </w:t>
      </w:r>
      <w:r w:rsidR="00D21286" w:rsidRPr="00FA392F">
        <w:t>maximum</w:t>
      </w:r>
      <w:r w:rsidRPr="00FA392F">
        <w:t xml:space="preserve"> scaled score is 30 for all four content areas</w:t>
      </w:r>
      <w:r w:rsidR="00B3625D">
        <w:t>, but each content area is normed differently meaning a scaled score of 15 in math may not be lower than a scaled score of 23 in Social Studies</w:t>
      </w:r>
      <w:r w:rsidRPr="00FA392F">
        <w:t xml:space="preserve">.  These scores are sorted according to the lowest score to the highest score for Language Arts, math, science, and Social Studies.  The appearance of the chart shows that in general, Language Arts and science tend to be the highest of the four scores </w:t>
      </w:r>
      <w:r w:rsidR="00B3625D" w:rsidRPr="00B3625D">
        <w:rPr>
          <w:i/>
        </w:rPr>
        <w:t>within</w:t>
      </w:r>
      <w:r w:rsidR="00B3625D">
        <w:t xml:space="preserve"> </w:t>
      </w:r>
      <w:r w:rsidRPr="00FA392F">
        <w:t>each ranking while Social Studie</w:t>
      </w:r>
      <w:r w:rsidR="00B3625D">
        <w:t>s tends to be the lowest score for each candidate</w:t>
      </w:r>
      <w:r w:rsidRPr="00FA392F">
        <w:t xml:space="preserve"> with the interesting exception that when the highest score in all four content areas are compared, Social Studies wins!  One of the primary takeaways from this chart is to note the instruction in all four areas was strong enough for some of the students to score very well. Additionally, the average scaled scores are 20, 19, 19, and 17 respectively, suggesting one area of academic opportunity is not dominated by a single content area nor is the least academic opportunity identified apart from the others.  A possible explanation for the low scores is there may be some misalignment with ETS expected content knowledge and what is taught in a tribal college having a vision and mission somewhat different than the typical four-year college.  Another interesting finding is that the mean percentage of students below the </w:t>
      </w:r>
      <w:r w:rsidR="001A06E5" w:rsidRPr="00FA392F">
        <w:t>average</w:t>
      </w:r>
      <w:r w:rsidRPr="00FA392F">
        <w:t xml:space="preserve"> for each content area is 47% with only a deviation from the average mean of 5% points among the four content area averages.  Again, this consistency indicates a very consistent quality of instruction across all content areas while a mean of the content averages of 47% (two of the four were exactly 50%) is consistent with scaled scores wherein by design half of the population of scores is above and half is below the mean. </w:t>
      </w:r>
    </w:p>
    <w:p w14:paraId="303140F5" w14:textId="77777777" w:rsidR="00021617" w:rsidRDefault="00AB0C96" w:rsidP="00802B5B">
      <w:r>
        <w:lastRenderedPageBreak/>
        <w:t>Given these three areas of assessment, it is now possible to compute a MACK score for</w:t>
      </w:r>
      <w:r w:rsidR="00021617">
        <w:t xml:space="preserve"> each of </w:t>
      </w:r>
      <w:r>
        <w:t>the</w:t>
      </w:r>
      <w:r w:rsidR="00021617">
        <w:t xml:space="preserve"> 34</w:t>
      </w:r>
      <w:r>
        <w:t xml:space="preserve"> candidates.  </w:t>
      </w:r>
      <w:r w:rsidR="00B73EE0">
        <w:t>A MACK score of 1</w:t>
      </w:r>
      <w:r w:rsidR="00E716DA">
        <w:t>2</w:t>
      </w:r>
      <w:r w:rsidR="00B73EE0">
        <w:t xml:space="preserve"> is the highest possible MACK score, with two candidates achieving an 11.  Of the 32 remaining candidates, 7 candidates scored a 10, 7 more scored a 9, and 7 more scored an 8. A MACK score of 7 was </w:t>
      </w:r>
      <w:r w:rsidR="001764CC">
        <w:t>earned</w:t>
      </w:r>
      <w:r w:rsidR="00B73EE0">
        <w:t xml:space="preserve"> by 8 of the candidates and the remaining 3 candidates just missed the minimum score for licensure recommendation by scoring a 6.  In all, 91% of the 34 candidates met</w:t>
      </w:r>
      <w:r w:rsidR="001764CC">
        <w:t xml:space="preserve"> or</w:t>
      </w:r>
      <w:r w:rsidR="00021617">
        <w:t xml:space="preserve"> </w:t>
      </w:r>
      <w:r w:rsidR="00B73EE0">
        <w:t xml:space="preserve">surpassed the criteria necessary to </w:t>
      </w:r>
      <w:r w:rsidR="00021617">
        <w:t>receive a recommendation for Montana teacher licensure!</w:t>
      </w:r>
    </w:p>
    <w:p w14:paraId="6C95D722" w14:textId="77777777" w:rsidR="003E016F" w:rsidRPr="00802B5B" w:rsidRDefault="003E016F" w:rsidP="00EF1A55">
      <w:pPr>
        <w:pStyle w:val="Heading1"/>
      </w:pPr>
      <w:bookmarkStart w:id="36" w:name="_Toc493221896"/>
      <w:r w:rsidRPr="00802B5B">
        <w:t>Transition to Professional Teaching (TPT)</w:t>
      </w:r>
      <w:bookmarkEnd w:id="36"/>
    </w:p>
    <w:p w14:paraId="4B6B3547" w14:textId="77777777" w:rsidR="006F0A18" w:rsidRDefault="00802B5B" w:rsidP="003E016F">
      <w:r w:rsidRPr="0022627F">
        <w:t>All teacher candidates are required to complete the Transition to Professional Teaching Seminar</w:t>
      </w:r>
      <w:r w:rsidRPr="0022627F">
        <w:rPr>
          <w:i/>
        </w:rPr>
        <w:t xml:space="preserve"> </w:t>
      </w:r>
      <w:r w:rsidRPr="0022627F">
        <w:t xml:space="preserve">as a requirement of entry into the Teacher Education Program. </w:t>
      </w:r>
      <w:r>
        <w:t xml:space="preserve"> </w:t>
      </w:r>
      <w:r w:rsidRPr="0022627F">
        <w:t xml:space="preserve">The emphasis of the TPT is to further develop the 4Cs, that is, the qualities </w:t>
      </w:r>
      <w:r>
        <w:t xml:space="preserve">of </w:t>
      </w:r>
      <w:r w:rsidRPr="0022627F">
        <w:t>communication, cultural understanding, critical thinking and</w:t>
      </w:r>
      <w:r>
        <w:t xml:space="preserve"> </w:t>
      </w:r>
      <w:r w:rsidRPr="0022627F">
        <w:t>citizenship in teacher candidates</w:t>
      </w:r>
      <w:r>
        <w:t xml:space="preserve">.  The four standards or 4Cs are formed from the configuration of 16 teacher dispositions, which are assessed and serve as indicators of the degree to which the four standards are part of the students’ preparation for teaching.  Table 13 displays the data from the initial and final teacher scored assessments.  The Standards and </w:t>
      </w:r>
      <w:r w:rsidR="00DE2BE6">
        <w:t>dispositions</w:t>
      </w:r>
      <w:r>
        <w:t xml:space="preserve"> </w:t>
      </w:r>
      <w:r w:rsidR="00DE2BE6">
        <w:t xml:space="preserve">are all rated by percentage of response according to the Exemplary (3), Proficient (2), and Developing (1) qualifiers.  There were no Unacceptable or (0) responses.  </w:t>
      </w:r>
    </w:p>
    <w:tbl>
      <w:tblPr>
        <w:tblpPr w:leftFromText="180" w:rightFromText="180" w:vertAnchor="page" w:horzAnchor="page" w:tblpXSpec="center" w:tblpY="6780"/>
        <w:tblW w:w="10203" w:type="dxa"/>
        <w:tblLook w:val="04A0" w:firstRow="1" w:lastRow="0" w:firstColumn="1" w:lastColumn="0" w:noHBand="0" w:noVBand="1"/>
      </w:tblPr>
      <w:tblGrid>
        <w:gridCol w:w="997"/>
        <w:gridCol w:w="531"/>
        <w:gridCol w:w="606"/>
        <w:gridCol w:w="606"/>
        <w:gridCol w:w="606"/>
        <w:gridCol w:w="271"/>
        <w:gridCol w:w="557"/>
        <w:gridCol w:w="606"/>
        <w:gridCol w:w="606"/>
        <w:gridCol w:w="509"/>
        <w:gridCol w:w="271"/>
        <w:gridCol w:w="4037"/>
      </w:tblGrid>
      <w:tr w:rsidR="001764CC" w:rsidRPr="003E016F" w14:paraId="575B2097" w14:textId="77777777" w:rsidTr="00802B5B">
        <w:trPr>
          <w:trHeight w:val="315"/>
        </w:trPr>
        <w:tc>
          <w:tcPr>
            <w:tcW w:w="10203" w:type="dxa"/>
            <w:gridSpan w:val="12"/>
            <w:tcBorders>
              <w:top w:val="single" w:sz="4" w:space="0" w:color="auto"/>
              <w:left w:val="nil"/>
              <w:bottom w:val="single" w:sz="4" w:space="0" w:color="auto"/>
              <w:right w:val="nil"/>
            </w:tcBorders>
            <w:shd w:val="clear" w:color="auto" w:fill="auto"/>
            <w:noWrap/>
            <w:vAlign w:val="bottom"/>
            <w:hideMark/>
          </w:tcPr>
          <w:p w14:paraId="6AE7BD6E" w14:textId="77777777" w:rsidR="001764CC" w:rsidRPr="003E016F" w:rsidRDefault="001764CC" w:rsidP="001764CC">
            <w:pPr>
              <w:spacing w:before="0" w:after="0" w:line="240" w:lineRule="auto"/>
              <w:jc w:val="center"/>
              <w:rPr>
                <w:rFonts w:eastAsia="Times New Roman"/>
                <w:b/>
                <w:bCs/>
                <w:color w:val="000000"/>
                <w:szCs w:val="24"/>
              </w:rPr>
            </w:pPr>
            <w:bookmarkStart w:id="37" w:name="_Toc492828035"/>
            <w:r w:rsidRPr="006F0A18">
              <w:rPr>
                <w:b/>
                <w:color w:val="000000" w:themeColor="text1"/>
                <w:szCs w:val="24"/>
              </w:rPr>
              <w:t xml:space="preserve">Table </w:t>
            </w:r>
            <w:r w:rsidRPr="006F0A18">
              <w:rPr>
                <w:b/>
                <w:color w:val="000000" w:themeColor="text1"/>
                <w:szCs w:val="24"/>
              </w:rPr>
              <w:fldChar w:fldCharType="begin"/>
            </w:r>
            <w:r w:rsidRPr="006F0A18">
              <w:rPr>
                <w:b/>
                <w:color w:val="000000" w:themeColor="text1"/>
                <w:szCs w:val="24"/>
              </w:rPr>
              <w:instrText xml:space="preserve"> SEQ Table \* ARABIC </w:instrText>
            </w:r>
            <w:r w:rsidRPr="006F0A18">
              <w:rPr>
                <w:b/>
                <w:color w:val="000000" w:themeColor="text1"/>
                <w:szCs w:val="24"/>
              </w:rPr>
              <w:fldChar w:fldCharType="separate"/>
            </w:r>
            <w:r w:rsidR="0010294F">
              <w:rPr>
                <w:b/>
                <w:noProof/>
                <w:color w:val="000000" w:themeColor="text1"/>
                <w:szCs w:val="24"/>
              </w:rPr>
              <w:t>13</w:t>
            </w:r>
            <w:r w:rsidRPr="006F0A18">
              <w:rPr>
                <w:b/>
                <w:color w:val="000000" w:themeColor="text1"/>
                <w:szCs w:val="24"/>
              </w:rPr>
              <w:fldChar w:fldCharType="end"/>
            </w:r>
            <w:r w:rsidRPr="003E016F">
              <w:rPr>
                <w:rFonts w:eastAsia="Times New Roman"/>
                <w:b/>
                <w:bCs/>
                <w:color w:val="000000"/>
                <w:szCs w:val="24"/>
              </w:rPr>
              <w:t>:  Teacher Scored TPT 4Cs Evaluation</w:t>
            </w:r>
            <w:bookmarkEnd w:id="37"/>
          </w:p>
        </w:tc>
      </w:tr>
      <w:tr w:rsidR="001764CC" w:rsidRPr="003E016F" w14:paraId="33E1CF80" w14:textId="77777777" w:rsidTr="00802B5B">
        <w:trPr>
          <w:trHeight w:val="315"/>
        </w:trPr>
        <w:tc>
          <w:tcPr>
            <w:tcW w:w="3346" w:type="dxa"/>
            <w:gridSpan w:val="5"/>
            <w:tcBorders>
              <w:top w:val="single" w:sz="4" w:space="0" w:color="auto"/>
              <w:left w:val="nil"/>
              <w:bottom w:val="nil"/>
              <w:right w:val="nil"/>
            </w:tcBorders>
            <w:shd w:val="clear" w:color="auto" w:fill="auto"/>
            <w:noWrap/>
            <w:vAlign w:val="bottom"/>
            <w:hideMark/>
          </w:tcPr>
          <w:p w14:paraId="5DFE35F8" w14:textId="77777777" w:rsidR="001764CC" w:rsidRPr="003E016F" w:rsidRDefault="00F67133" w:rsidP="001764CC">
            <w:pPr>
              <w:spacing w:before="0" w:after="0" w:line="240" w:lineRule="auto"/>
              <w:jc w:val="center"/>
              <w:rPr>
                <w:rFonts w:eastAsia="Times New Roman"/>
                <w:b/>
                <w:bCs/>
                <w:color w:val="000000"/>
                <w:sz w:val="22"/>
              </w:rPr>
            </w:pPr>
            <w:r>
              <w:rPr>
                <w:rFonts w:eastAsia="Times New Roman"/>
                <w:b/>
                <w:bCs/>
                <w:color w:val="000000"/>
                <w:sz w:val="22"/>
              </w:rPr>
              <w:t>STAGE I</w:t>
            </w:r>
          </w:p>
        </w:tc>
        <w:tc>
          <w:tcPr>
            <w:tcW w:w="271" w:type="dxa"/>
            <w:tcBorders>
              <w:top w:val="nil"/>
              <w:left w:val="nil"/>
              <w:bottom w:val="nil"/>
              <w:right w:val="nil"/>
            </w:tcBorders>
            <w:shd w:val="clear" w:color="auto" w:fill="auto"/>
            <w:noWrap/>
            <w:vAlign w:val="bottom"/>
            <w:hideMark/>
          </w:tcPr>
          <w:p w14:paraId="7C694142" w14:textId="77777777" w:rsidR="001764CC" w:rsidRPr="003E016F" w:rsidRDefault="001764CC" w:rsidP="001764CC">
            <w:pPr>
              <w:spacing w:before="0" w:after="0" w:line="240" w:lineRule="auto"/>
              <w:rPr>
                <w:rFonts w:eastAsia="Times New Roman"/>
                <w:color w:val="000000"/>
                <w:sz w:val="22"/>
              </w:rPr>
            </w:pPr>
            <w:r w:rsidRPr="003E016F">
              <w:rPr>
                <w:rFonts w:eastAsia="Times New Roman"/>
                <w:color w:val="000000"/>
                <w:sz w:val="22"/>
              </w:rPr>
              <w:t> </w:t>
            </w:r>
          </w:p>
        </w:tc>
        <w:tc>
          <w:tcPr>
            <w:tcW w:w="2278" w:type="dxa"/>
            <w:gridSpan w:val="4"/>
            <w:tcBorders>
              <w:top w:val="single" w:sz="4" w:space="0" w:color="auto"/>
              <w:left w:val="nil"/>
              <w:bottom w:val="nil"/>
              <w:right w:val="nil"/>
            </w:tcBorders>
            <w:shd w:val="clear" w:color="auto" w:fill="auto"/>
            <w:noWrap/>
            <w:vAlign w:val="bottom"/>
            <w:hideMark/>
          </w:tcPr>
          <w:p w14:paraId="6CF97CD5" w14:textId="77777777" w:rsidR="001764CC" w:rsidRPr="003E016F" w:rsidRDefault="00F67133" w:rsidP="001764CC">
            <w:pPr>
              <w:spacing w:before="0" w:after="0" w:line="240" w:lineRule="auto"/>
              <w:jc w:val="center"/>
              <w:rPr>
                <w:rFonts w:eastAsia="Times New Roman"/>
                <w:b/>
                <w:bCs/>
                <w:color w:val="000000"/>
                <w:sz w:val="22"/>
              </w:rPr>
            </w:pPr>
            <w:r>
              <w:rPr>
                <w:rFonts w:eastAsia="Times New Roman"/>
                <w:b/>
                <w:bCs/>
                <w:color w:val="000000"/>
                <w:sz w:val="22"/>
              </w:rPr>
              <w:t>STAGE II</w:t>
            </w:r>
          </w:p>
        </w:tc>
        <w:tc>
          <w:tcPr>
            <w:tcW w:w="271" w:type="dxa"/>
            <w:tcBorders>
              <w:top w:val="nil"/>
              <w:left w:val="nil"/>
              <w:bottom w:val="nil"/>
              <w:right w:val="nil"/>
            </w:tcBorders>
            <w:shd w:val="clear" w:color="auto" w:fill="auto"/>
            <w:noWrap/>
            <w:vAlign w:val="bottom"/>
            <w:hideMark/>
          </w:tcPr>
          <w:p w14:paraId="3A36DAF6" w14:textId="77777777" w:rsidR="001764CC" w:rsidRPr="003E016F" w:rsidRDefault="001764CC" w:rsidP="001764CC">
            <w:pPr>
              <w:spacing w:before="0" w:after="0" w:line="240" w:lineRule="auto"/>
              <w:jc w:val="center"/>
              <w:rPr>
                <w:rFonts w:eastAsia="Times New Roman"/>
                <w:b/>
                <w:bCs/>
                <w:color w:val="000000"/>
                <w:sz w:val="22"/>
              </w:rPr>
            </w:pPr>
            <w:r w:rsidRPr="003E016F">
              <w:rPr>
                <w:rFonts w:eastAsia="Times New Roman"/>
                <w:b/>
                <w:bCs/>
                <w:color w:val="000000"/>
                <w:sz w:val="22"/>
              </w:rPr>
              <w:t> </w:t>
            </w:r>
          </w:p>
        </w:tc>
        <w:tc>
          <w:tcPr>
            <w:tcW w:w="4037" w:type="dxa"/>
            <w:tcBorders>
              <w:top w:val="nil"/>
              <w:left w:val="nil"/>
              <w:bottom w:val="nil"/>
              <w:right w:val="nil"/>
            </w:tcBorders>
            <w:shd w:val="clear" w:color="auto" w:fill="auto"/>
            <w:noWrap/>
            <w:vAlign w:val="bottom"/>
            <w:hideMark/>
          </w:tcPr>
          <w:p w14:paraId="657AD247" w14:textId="77777777" w:rsidR="001764CC" w:rsidRPr="003E016F" w:rsidRDefault="001764CC" w:rsidP="001764CC">
            <w:pPr>
              <w:spacing w:before="0" w:after="0" w:line="240" w:lineRule="auto"/>
              <w:rPr>
                <w:rFonts w:eastAsia="Times New Roman"/>
                <w:b/>
                <w:bCs/>
                <w:color w:val="000000"/>
                <w:sz w:val="22"/>
              </w:rPr>
            </w:pPr>
            <w:r w:rsidRPr="003E016F">
              <w:rPr>
                <w:rFonts w:eastAsia="Times New Roman"/>
                <w:b/>
                <w:bCs/>
                <w:color w:val="000000"/>
                <w:sz w:val="20"/>
              </w:rPr>
              <w:t>N =37 and N = 36 Respectively</w:t>
            </w:r>
          </w:p>
        </w:tc>
      </w:tr>
      <w:tr w:rsidR="001764CC" w:rsidRPr="003E016F" w14:paraId="4F08904A" w14:textId="77777777" w:rsidTr="00802B5B">
        <w:trPr>
          <w:trHeight w:val="315"/>
        </w:trPr>
        <w:tc>
          <w:tcPr>
            <w:tcW w:w="997" w:type="dxa"/>
            <w:tcBorders>
              <w:top w:val="nil"/>
              <w:left w:val="nil"/>
              <w:bottom w:val="single" w:sz="4" w:space="0" w:color="auto"/>
              <w:right w:val="nil"/>
            </w:tcBorders>
            <w:shd w:val="clear" w:color="auto" w:fill="auto"/>
            <w:noWrap/>
            <w:vAlign w:val="bottom"/>
            <w:hideMark/>
          </w:tcPr>
          <w:p w14:paraId="78E235F1" w14:textId="77777777" w:rsidR="001764CC" w:rsidRPr="003E016F" w:rsidRDefault="001764CC" w:rsidP="001764CC">
            <w:pPr>
              <w:spacing w:before="0" w:after="0" w:line="240" w:lineRule="auto"/>
              <w:jc w:val="center"/>
              <w:rPr>
                <w:rFonts w:eastAsia="Times New Roman"/>
                <w:b/>
                <w:bCs/>
                <w:color w:val="000000"/>
                <w:sz w:val="22"/>
              </w:rPr>
            </w:pPr>
            <w:r w:rsidRPr="003E016F">
              <w:rPr>
                <w:rFonts w:eastAsia="Times New Roman"/>
                <w:b/>
                <w:bCs/>
                <w:color w:val="000000"/>
                <w:sz w:val="22"/>
              </w:rPr>
              <w:t>Rater</w:t>
            </w:r>
          </w:p>
        </w:tc>
        <w:tc>
          <w:tcPr>
            <w:tcW w:w="531" w:type="dxa"/>
            <w:tcBorders>
              <w:top w:val="nil"/>
              <w:left w:val="nil"/>
              <w:bottom w:val="single" w:sz="4" w:space="0" w:color="auto"/>
              <w:right w:val="nil"/>
            </w:tcBorders>
            <w:shd w:val="clear" w:color="auto" w:fill="auto"/>
            <w:noWrap/>
            <w:vAlign w:val="bottom"/>
            <w:hideMark/>
          </w:tcPr>
          <w:p w14:paraId="193C5397" w14:textId="77777777" w:rsidR="001764CC" w:rsidRPr="003E016F" w:rsidRDefault="001764CC" w:rsidP="001764CC">
            <w:pPr>
              <w:spacing w:before="0" w:after="0" w:line="240" w:lineRule="auto"/>
              <w:jc w:val="center"/>
              <w:rPr>
                <w:rFonts w:eastAsia="Times New Roman"/>
                <w:b/>
                <w:bCs/>
                <w:color w:val="000000"/>
                <w:sz w:val="22"/>
              </w:rPr>
            </w:pPr>
            <w:r w:rsidRPr="003E016F">
              <w:rPr>
                <w:rFonts w:eastAsia="Times New Roman"/>
                <w:b/>
                <w:bCs/>
                <w:color w:val="000000"/>
                <w:sz w:val="22"/>
              </w:rPr>
              <w:t>Cs</w:t>
            </w:r>
          </w:p>
        </w:tc>
        <w:tc>
          <w:tcPr>
            <w:tcW w:w="606" w:type="dxa"/>
            <w:tcBorders>
              <w:top w:val="nil"/>
              <w:left w:val="nil"/>
              <w:bottom w:val="single" w:sz="4" w:space="0" w:color="auto"/>
              <w:right w:val="nil"/>
            </w:tcBorders>
            <w:shd w:val="clear" w:color="auto" w:fill="auto"/>
            <w:noWrap/>
            <w:vAlign w:val="bottom"/>
            <w:hideMark/>
          </w:tcPr>
          <w:p w14:paraId="3A5F9735" w14:textId="77777777" w:rsidR="001764CC" w:rsidRPr="003E016F" w:rsidRDefault="001764CC" w:rsidP="001764CC">
            <w:pPr>
              <w:spacing w:before="0" w:after="0" w:line="240" w:lineRule="auto"/>
              <w:jc w:val="center"/>
              <w:rPr>
                <w:rFonts w:eastAsia="Times New Roman"/>
                <w:b/>
                <w:bCs/>
                <w:color w:val="000000"/>
                <w:sz w:val="22"/>
              </w:rPr>
            </w:pPr>
            <w:r w:rsidRPr="003E016F">
              <w:rPr>
                <w:rFonts w:eastAsia="Times New Roman"/>
                <w:b/>
                <w:bCs/>
                <w:color w:val="000000"/>
                <w:sz w:val="22"/>
              </w:rPr>
              <w:t>3</w:t>
            </w:r>
          </w:p>
        </w:tc>
        <w:tc>
          <w:tcPr>
            <w:tcW w:w="606" w:type="dxa"/>
            <w:tcBorders>
              <w:top w:val="nil"/>
              <w:left w:val="nil"/>
              <w:bottom w:val="single" w:sz="4" w:space="0" w:color="auto"/>
              <w:right w:val="nil"/>
            </w:tcBorders>
            <w:shd w:val="clear" w:color="auto" w:fill="auto"/>
            <w:noWrap/>
            <w:vAlign w:val="bottom"/>
            <w:hideMark/>
          </w:tcPr>
          <w:p w14:paraId="00388D72" w14:textId="77777777" w:rsidR="001764CC" w:rsidRPr="003E016F" w:rsidRDefault="001764CC" w:rsidP="001764CC">
            <w:pPr>
              <w:spacing w:before="0" w:after="0" w:line="240" w:lineRule="auto"/>
              <w:jc w:val="center"/>
              <w:rPr>
                <w:rFonts w:eastAsia="Times New Roman"/>
                <w:b/>
                <w:bCs/>
                <w:color w:val="000000"/>
                <w:sz w:val="22"/>
              </w:rPr>
            </w:pPr>
            <w:r w:rsidRPr="003E016F">
              <w:rPr>
                <w:rFonts w:eastAsia="Times New Roman"/>
                <w:b/>
                <w:bCs/>
                <w:color w:val="000000"/>
                <w:sz w:val="22"/>
              </w:rPr>
              <w:t>2</w:t>
            </w:r>
          </w:p>
        </w:tc>
        <w:tc>
          <w:tcPr>
            <w:tcW w:w="606" w:type="dxa"/>
            <w:tcBorders>
              <w:top w:val="nil"/>
              <w:left w:val="nil"/>
              <w:bottom w:val="single" w:sz="4" w:space="0" w:color="auto"/>
              <w:right w:val="nil"/>
            </w:tcBorders>
            <w:shd w:val="clear" w:color="auto" w:fill="auto"/>
            <w:noWrap/>
            <w:vAlign w:val="bottom"/>
            <w:hideMark/>
          </w:tcPr>
          <w:p w14:paraId="149702F1" w14:textId="77777777" w:rsidR="001764CC" w:rsidRPr="003E016F" w:rsidRDefault="001764CC" w:rsidP="001764CC">
            <w:pPr>
              <w:spacing w:before="0" w:after="0" w:line="240" w:lineRule="auto"/>
              <w:jc w:val="center"/>
              <w:rPr>
                <w:rFonts w:eastAsia="Times New Roman"/>
                <w:b/>
                <w:bCs/>
                <w:color w:val="000000"/>
                <w:sz w:val="22"/>
              </w:rPr>
            </w:pPr>
            <w:r w:rsidRPr="003E016F">
              <w:rPr>
                <w:rFonts w:eastAsia="Times New Roman"/>
                <w:b/>
                <w:bCs/>
                <w:color w:val="000000"/>
                <w:sz w:val="22"/>
              </w:rPr>
              <w:t>1</w:t>
            </w:r>
          </w:p>
        </w:tc>
        <w:tc>
          <w:tcPr>
            <w:tcW w:w="271" w:type="dxa"/>
            <w:tcBorders>
              <w:top w:val="nil"/>
              <w:left w:val="nil"/>
              <w:bottom w:val="single" w:sz="4" w:space="0" w:color="auto"/>
              <w:right w:val="nil"/>
            </w:tcBorders>
            <w:shd w:val="clear" w:color="auto" w:fill="auto"/>
            <w:noWrap/>
            <w:vAlign w:val="bottom"/>
            <w:hideMark/>
          </w:tcPr>
          <w:p w14:paraId="005897B2" w14:textId="77777777" w:rsidR="001764CC" w:rsidRPr="003E016F" w:rsidRDefault="001764CC" w:rsidP="001764CC">
            <w:pPr>
              <w:spacing w:before="0" w:after="0" w:line="240" w:lineRule="auto"/>
              <w:rPr>
                <w:rFonts w:eastAsia="Times New Roman"/>
                <w:b/>
                <w:bCs/>
                <w:color w:val="000000"/>
                <w:sz w:val="22"/>
              </w:rPr>
            </w:pPr>
            <w:r w:rsidRPr="003E016F">
              <w:rPr>
                <w:rFonts w:eastAsia="Times New Roman"/>
                <w:b/>
                <w:bCs/>
                <w:color w:val="000000"/>
                <w:sz w:val="22"/>
              </w:rPr>
              <w:t> </w:t>
            </w:r>
          </w:p>
        </w:tc>
        <w:tc>
          <w:tcPr>
            <w:tcW w:w="557" w:type="dxa"/>
            <w:tcBorders>
              <w:top w:val="nil"/>
              <w:left w:val="nil"/>
              <w:bottom w:val="single" w:sz="4" w:space="0" w:color="auto"/>
              <w:right w:val="nil"/>
            </w:tcBorders>
            <w:shd w:val="clear" w:color="auto" w:fill="auto"/>
            <w:noWrap/>
            <w:vAlign w:val="bottom"/>
            <w:hideMark/>
          </w:tcPr>
          <w:p w14:paraId="61C035B9" w14:textId="77777777" w:rsidR="001764CC" w:rsidRPr="003E016F" w:rsidRDefault="001764CC" w:rsidP="001764CC">
            <w:pPr>
              <w:spacing w:before="0" w:after="0" w:line="240" w:lineRule="auto"/>
              <w:jc w:val="center"/>
              <w:rPr>
                <w:rFonts w:eastAsia="Times New Roman"/>
                <w:b/>
                <w:bCs/>
                <w:color w:val="000000"/>
                <w:sz w:val="22"/>
              </w:rPr>
            </w:pPr>
            <w:r w:rsidRPr="003E016F">
              <w:rPr>
                <w:rFonts w:eastAsia="Times New Roman"/>
                <w:b/>
                <w:bCs/>
                <w:color w:val="000000"/>
                <w:sz w:val="22"/>
              </w:rPr>
              <w:t>Cs</w:t>
            </w:r>
          </w:p>
        </w:tc>
        <w:tc>
          <w:tcPr>
            <w:tcW w:w="606" w:type="dxa"/>
            <w:tcBorders>
              <w:top w:val="nil"/>
              <w:left w:val="nil"/>
              <w:bottom w:val="single" w:sz="4" w:space="0" w:color="auto"/>
              <w:right w:val="nil"/>
            </w:tcBorders>
            <w:shd w:val="clear" w:color="auto" w:fill="auto"/>
            <w:noWrap/>
            <w:vAlign w:val="bottom"/>
            <w:hideMark/>
          </w:tcPr>
          <w:p w14:paraId="25D9F719" w14:textId="77777777" w:rsidR="001764CC" w:rsidRPr="003E016F" w:rsidRDefault="001764CC" w:rsidP="001764CC">
            <w:pPr>
              <w:spacing w:before="0" w:after="0" w:line="240" w:lineRule="auto"/>
              <w:jc w:val="center"/>
              <w:rPr>
                <w:rFonts w:eastAsia="Times New Roman"/>
                <w:b/>
                <w:bCs/>
                <w:color w:val="000000"/>
                <w:sz w:val="22"/>
              </w:rPr>
            </w:pPr>
            <w:r w:rsidRPr="003E016F">
              <w:rPr>
                <w:rFonts w:eastAsia="Times New Roman"/>
                <w:b/>
                <w:bCs/>
                <w:color w:val="000000"/>
                <w:sz w:val="22"/>
              </w:rPr>
              <w:t>3</w:t>
            </w:r>
          </w:p>
        </w:tc>
        <w:tc>
          <w:tcPr>
            <w:tcW w:w="606" w:type="dxa"/>
            <w:tcBorders>
              <w:top w:val="nil"/>
              <w:left w:val="nil"/>
              <w:bottom w:val="single" w:sz="4" w:space="0" w:color="auto"/>
              <w:right w:val="nil"/>
            </w:tcBorders>
            <w:shd w:val="clear" w:color="auto" w:fill="auto"/>
            <w:noWrap/>
            <w:vAlign w:val="bottom"/>
            <w:hideMark/>
          </w:tcPr>
          <w:p w14:paraId="35E93BF2" w14:textId="77777777" w:rsidR="001764CC" w:rsidRPr="003E016F" w:rsidRDefault="001764CC" w:rsidP="001764CC">
            <w:pPr>
              <w:spacing w:before="0" w:after="0" w:line="240" w:lineRule="auto"/>
              <w:jc w:val="center"/>
              <w:rPr>
                <w:rFonts w:eastAsia="Times New Roman"/>
                <w:b/>
                <w:bCs/>
                <w:color w:val="000000"/>
                <w:sz w:val="22"/>
              </w:rPr>
            </w:pPr>
            <w:r w:rsidRPr="003E016F">
              <w:rPr>
                <w:rFonts w:eastAsia="Times New Roman"/>
                <w:b/>
                <w:bCs/>
                <w:color w:val="000000"/>
                <w:sz w:val="22"/>
              </w:rPr>
              <w:t>2</w:t>
            </w:r>
          </w:p>
        </w:tc>
        <w:tc>
          <w:tcPr>
            <w:tcW w:w="509" w:type="dxa"/>
            <w:tcBorders>
              <w:top w:val="nil"/>
              <w:left w:val="nil"/>
              <w:bottom w:val="single" w:sz="4" w:space="0" w:color="auto"/>
              <w:right w:val="nil"/>
            </w:tcBorders>
            <w:shd w:val="clear" w:color="auto" w:fill="auto"/>
            <w:noWrap/>
            <w:vAlign w:val="bottom"/>
            <w:hideMark/>
          </w:tcPr>
          <w:p w14:paraId="4FAD7FCA" w14:textId="77777777" w:rsidR="001764CC" w:rsidRPr="003E016F" w:rsidRDefault="001764CC" w:rsidP="001764CC">
            <w:pPr>
              <w:spacing w:before="0" w:after="0" w:line="240" w:lineRule="auto"/>
              <w:jc w:val="center"/>
              <w:rPr>
                <w:rFonts w:eastAsia="Times New Roman"/>
                <w:b/>
                <w:bCs/>
                <w:color w:val="000000"/>
                <w:sz w:val="22"/>
              </w:rPr>
            </w:pPr>
            <w:r w:rsidRPr="003E016F">
              <w:rPr>
                <w:rFonts w:eastAsia="Times New Roman"/>
                <w:b/>
                <w:bCs/>
                <w:color w:val="000000"/>
                <w:sz w:val="22"/>
              </w:rPr>
              <w:t>1</w:t>
            </w:r>
          </w:p>
        </w:tc>
        <w:tc>
          <w:tcPr>
            <w:tcW w:w="271" w:type="dxa"/>
            <w:tcBorders>
              <w:top w:val="nil"/>
              <w:left w:val="nil"/>
              <w:bottom w:val="single" w:sz="4" w:space="0" w:color="auto"/>
              <w:right w:val="nil"/>
            </w:tcBorders>
            <w:shd w:val="clear" w:color="auto" w:fill="auto"/>
            <w:noWrap/>
            <w:vAlign w:val="bottom"/>
            <w:hideMark/>
          </w:tcPr>
          <w:p w14:paraId="4E0C5028" w14:textId="77777777" w:rsidR="001764CC" w:rsidRPr="003E016F" w:rsidRDefault="001764CC" w:rsidP="001764CC">
            <w:pPr>
              <w:spacing w:before="0" w:after="0" w:line="240" w:lineRule="auto"/>
              <w:jc w:val="center"/>
              <w:rPr>
                <w:rFonts w:eastAsia="Times New Roman"/>
                <w:b/>
                <w:bCs/>
                <w:color w:val="000000"/>
                <w:sz w:val="22"/>
              </w:rPr>
            </w:pPr>
            <w:r w:rsidRPr="003E016F">
              <w:rPr>
                <w:rFonts w:eastAsia="Times New Roman"/>
                <w:b/>
                <w:bCs/>
                <w:color w:val="000000"/>
                <w:sz w:val="22"/>
              </w:rPr>
              <w:t> </w:t>
            </w:r>
          </w:p>
        </w:tc>
        <w:tc>
          <w:tcPr>
            <w:tcW w:w="4037" w:type="dxa"/>
            <w:tcBorders>
              <w:top w:val="nil"/>
              <w:left w:val="nil"/>
              <w:bottom w:val="single" w:sz="4" w:space="0" w:color="auto"/>
              <w:right w:val="nil"/>
            </w:tcBorders>
            <w:shd w:val="clear" w:color="auto" w:fill="auto"/>
            <w:noWrap/>
            <w:vAlign w:val="bottom"/>
            <w:hideMark/>
          </w:tcPr>
          <w:p w14:paraId="496BFE53" w14:textId="77777777" w:rsidR="001764CC" w:rsidRPr="003E016F" w:rsidRDefault="001764CC" w:rsidP="001764CC">
            <w:pPr>
              <w:spacing w:before="0" w:after="0" w:line="240" w:lineRule="auto"/>
              <w:rPr>
                <w:rFonts w:eastAsia="Times New Roman"/>
                <w:color w:val="000000"/>
                <w:sz w:val="22"/>
              </w:rPr>
            </w:pPr>
            <w:r w:rsidRPr="003E016F">
              <w:rPr>
                <w:rFonts w:eastAsia="Times New Roman"/>
                <w:color w:val="000000"/>
                <w:sz w:val="22"/>
              </w:rPr>
              <w:t> </w:t>
            </w:r>
          </w:p>
        </w:tc>
      </w:tr>
      <w:tr w:rsidR="001764CC" w:rsidRPr="003E016F" w14:paraId="721D458E" w14:textId="77777777" w:rsidTr="00802B5B">
        <w:trPr>
          <w:trHeight w:val="315"/>
        </w:trPr>
        <w:tc>
          <w:tcPr>
            <w:tcW w:w="997" w:type="dxa"/>
            <w:tcBorders>
              <w:top w:val="nil"/>
              <w:left w:val="nil"/>
              <w:bottom w:val="nil"/>
              <w:right w:val="nil"/>
            </w:tcBorders>
            <w:shd w:val="clear" w:color="auto" w:fill="auto"/>
            <w:noWrap/>
            <w:vAlign w:val="bottom"/>
            <w:hideMark/>
          </w:tcPr>
          <w:p w14:paraId="1694546E"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Average</w:t>
            </w:r>
          </w:p>
        </w:tc>
        <w:tc>
          <w:tcPr>
            <w:tcW w:w="531" w:type="dxa"/>
            <w:tcBorders>
              <w:top w:val="nil"/>
              <w:left w:val="nil"/>
              <w:bottom w:val="nil"/>
              <w:right w:val="nil"/>
            </w:tcBorders>
            <w:shd w:val="clear" w:color="auto" w:fill="auto"/>
            <w:noWrap/>
            <w:vAlign w:val="bottom"/>
            <w:hideMark/>
          </w:tcPr>
          <w:p w14:paraId="5377C8DE"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1.0</w:t>
            </w:r>
          </w:p>
        </w:tc>
        <w:tc>
          <w:tcPr>
            <w:tcW w:w="606" w:type="dxa"/>
            <w:tcBorders>
              <w:top w:val="nil"/>
              <w:left w:val="nil"/>
              <w:bottom w:val="nil"/>
              <w:right w:val="nil"/>
            </w:tcBorders>
            <w:shd w:val="clear" w:color="auto" w:fill="auto"/>
            <w:noWrap/>
            <w:vAlign w:val="bottom"/>
            <w:hideMark/>
          </w:tcPr>
          <w:p w14:paraId="3561BC60"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26%</w:t>
            </w:r>
          </w:p>
        </w:tc>
        <w:tc>
          <w:tcPr>
            <w:tcW w:w="606" w:type="dxa"/>
            <w:tcBorders>
              <w:top w:val="nil"/>
              <w:left w:val="nil"/>
              <w:bottom w:val="nil"/>
              <w:right w:val="nil"/>
            </w:tcBorders>
            <w:shd w:val="clear" w:color="auto" w:fill="auto"/>
            <w:noWrap/>
            <w:vAlign w:val="bottom"/>
            <w:hideMark/>
          </w:tcPr>
          <w:p w14:paraId="01846C8C"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58%</w:t>
            </w:r>
          </w:p>
        </w:tc>
        <w:tc>
          <w:tcPr>
            <w:tcW w:w="606" w:type="dxa"/>
            <w:tcBorders>
              <w:top w:val="nil"/>
              <w:left w:val="nil"/>
              <w:bottom w:val="nil"/>
              <w:right w:val="nil"/>
            </w:tcBorders>
            <w:shd w:val="clear" w:color="auto" w:fill="auto"/>
            <w:noWrap/>
            <w:vAlign w:val="bottom"/>
            <w:hideMark/>
          </w:tcPr>
          <w:p w14:paraId="5044D6C7"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15%</w:t>
            </w:r>
          </w:p>
        </w:tc>
        <w:tc>
          <w:tcPr>
            <w:tcW w:w="271" w:type="dxa"/>
            <w:tcBorders>
              <w:top w:val="nil"/>
              <w:left w:val="nil"/>
              <w:bottom w:val="nil"/>
              <w:right w:val="nil"/>
            </w:tcBorders>
            <w:shd w:val="clear" w:color="auto" w:fill="auto"/>
            <w:noWrap/>
            <w:vAlign w:val="bottom"/>
            <w:hideMark/>
          </w:tcPr>
          <w:p w14:paraId="7BF078AA" w14:textId="77777777" w:rsidR="001764CC" w:rsidRPr="003E016F" w:rsidRDefault="001764CC" w:rsidP="001764CC">
            <w:pPr>
              <w:spacing w:before="0" w:after="0" w:line="240" w:lineRule="auto"/>
              <w:rPr>
                <w:rFonts w:eastAsia="Times New Roman"/>
                <w:b/>
                <w:bCs/>
                <w:sz w:val="18"/>
                <w:szCs w:val="18"/>
              </w:rPr>
            </w:pPr>
          </w:p>
        </w:tc>
        <w:tc>
          <w:tcPr>
            <w:tcW w:w="557" w:type="dxa"/>
            <w:tcBorders>
              <w:top w:val="nil"/>
              <w:left w:val="nil"/>
              <w:bottom w:val="nil"/>
              <w:right w:val="nil"/>
            </w:tcBorders>
            <w:shd w:val="clear" w:color="auto" w:fill="auto"/>
            <w:noWrap/>
            <w:vAlign w:val="bottom"/>
            <w:hideMark/>
          </w:tcPr>
          <w:p w14:paraId="53521E66"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2.0</w:t>
            </w:r>
          </w:p>
        </w:tc>
        <w:tc>
          <w:tcPr>
            <w:tcW w:w="606" w:type="dxa"/>
            <w:tcBorders>
              <w:top w:val="nil"/>
              <w:left w:val="nil"/>
              <w:bottom w:val="nil"/>
              <w:right w:val="nil"/>
            </w:tcBorders>
            <w:shd w:val="clear" w:color="auto" w:fill="auto"/>
            <w:noWrap/>
            <w:vAlign w:val="bottom"/>
            <w:hideMark/>
          </w:tcPr>
          <w:p w14:paraId="106506A6"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49%</w:t>
            </w:r>
          </w:p>
        </w:tc>
        <w:tc>
          <w:tcPr>
            <w:tcW w:w="606" w:type="dxa"/>
            <w:tcBorders>
              <w:top w:val="nil"/>
              <w:left w:val="nil"/>
              <w:bottom w:val="nil"/>
              <w:right w:val="nil"/>
            </w:tcBorders>
            <w:shd w:val="clear" w:color="auto" w:fill="auto"/>
            <w:noWrap/>
            <w:vAlign w:val="bottom"/>
            <w:hideMark/>
          </w:tcPr>
          <w:p w14:paraId="0EBCCEBF"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50%</w:t>
            </w:r>
          </w:p>
        </w:tc>
        <w:tc>
          <w:tcPr>
            <w:tcW w:w="509" w:type="dxa"/>
            <w:tcBorders>
              <w:top w:val="nil"/>
              <w:left w:val="nil"/>
              <w:bottom w:val="nil"/>
              <w:right w:val="nil"/>
            </w:tcBorders>
            <w:shd w:val="clear" w:color="auto" w:fill="auto"/>
            <w:noWrap/>
            <w:vAlign w:val="bottom"/>
            <w:hideMark/>
          </w:tcPr>
          <w:p w14:paraId="7C5430F4"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1%</w:t>
            </w:r>
          </w:p>
        </w:tc>
        <w:tc>
          <w:tcPr>
            <w:tcW w:w="271" w:type="dxa"/>
            <w:tcBorders>
              <w:top w:val="nil"/>
              <w:left w:val="nil"/>
              <w:bottom w:val="nil"/>
              <w:right w:val="nil"/>
            </w:tcBorders>
            <w:shd w:val="clear" w:color="auto" w:fill="auto"/>
            <w:noWrap/>
            <w:vAlign w:val="bottom"/>
            <w:hideMark/>
          </w:tcPr>
          <w:p w14:paraId="44E6E9FD" w14:textId="77777777" w:rsidR="001764CC" w:rsidRPr="003E016F" w:rsidRDefault="001764CC" w:rsidP="001764CC">
            <w:pPr>
              <w:spacing w:before="0" w:after="0" w:line="240" w:lineRule="auto"/>
              <w:rPr>
                <w:rFonts w:eastAsia="Times New Roman"/>
                <w:b/>
                <w:bCs/>
                <w:sz w:val="20"/>
                <w:szCs w:val="20"/>
              </w:rPr>
            </w:pPr>
          </w:p>
        </w:tc>
        <w:tc>
          <w:tcPr>
            <w:tcW w:w="4037" w:type="dxa"/>
            <w:tcBorders>
              <w:top w:val="nil"/>
              <w:left w:val="nil"/>
              <w:bottom w:val="nil"/>
              <w:right w:val="nil"/>
            </w:tcBorders>
            <w:shd w:val="clear" w:color="auto" w:fill="auto"/>
            <w:noWrap/>
            <w:vAlign w:val="bottom"/>
            <w:hideMark/>
          </w:tcPr>
          <w:p w14:paraId="69AB77BC" w14:textId="77777777" w:rsidR="001764CC" w:rsidRPr="003E016F" w:rsidRDefault="00DF3F86" w:rsidP="001764CC">
            <w:pPr>
              <w:spacing w:before="0" w:after="0" w:line="240" w:lineRule="auto"/>
              <w:rPr>
                <w:rFonts w:eastAsia="Times New Roman"/>
                <w:color w:val="000000"/>
                <w:sz w:val="20"/>
                <w:szCs w:val="20"/>
              </w:rPr>
            </w:pPr>
            <w:r w:rsidRPr="00DF3F86">
              <w:rPr>
                <w:rFonts w:eastAsia="Times New Roman"/>
                <w:color w:val="000000"/>
                <w:sz w:val="18"/>
                <w:szCs w:val="18"/>
              </w:rPr>
              <w:t>Percentages for all Dispositions</w:t>
            </w:r>
          </w:p>
        </w:tc>
      </w:tr>
      <w:tr w:rsidR="001764CC" w:rsidRPr="003E016F" w14:paraId="35C80764" w14:textId="77777777" w:rsidTr="00802B5B">
        <w:trPr>
          <w:trHeight w:val="315"/>
        </w:trPr>
        <w:tc>
          <w:tcPr>
            <w:tcW w:w="997" w:type="dxa"/>
            <w:tcBorders>
              <w:top w:val="nil"/>
              <w:left w:val="nil"/>
              <w:bottom w:val="nil"/>
              <w:right w:val="nil"/>
            </w:tcBorders>
            <w:shd w:val="clear" w:color="auto" w:fill="auto"/>
            <w:noWrap/>
            <w:vAlign w:val="bottom"/>
            <w:hideMark/>
          </w:tcPr>
          <w:p w14:paraId="680245C1"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Average</w:t>
            </w:r>
          </w:p>
        </w:tc>
        <w:tc>
          <w:tcPr>
            <w:tcW w:w="531" w:type="dxa"/>
            <w:tcBorders>
              <w:top w:val="nil"/>
              <w:left w:val="nil"/>
              <w:bottom w:val="nil"/>
              <w:right w:val="nil"/>
            </w:tcBorders>
            <w:shd w:val="clear" w:color="auto" w:fill="auto"/>
            <w:noWrap/>
            <w:vAlign w:val="bottom"/>
            <w:hideMark/>
          </w:tcPr>
          <w:p w14:paraId="3A3AEFFB"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1.1</w:t>
            </w:r>
          </w:p>
        </w:tc>
        <w:tc>
          <w:tcPr>
            <w:tcW w:w="606" w:type="dxa"/>
            <w:tcBorders>
              <w:top w:val="nil"/>
              <w:left w:val="nil"/>
              <w:bottom w:val="nil"/>
              <w:right w:val="nil"/>
            </w:tcBorders>
            <w:shd w:val="clear" w:color="auto" w:fill="auto"/>
            <w:noWrap/>
            <w:vAlign w:val="bottom"/>
            <w:hideMark/>
          </w:tcPr>
          <w:p w14:paraId="0215351F"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34%</w:t>
            </w:r>
          </w:p>
        </w:tc>
        <w:tc>
          <w:tcPr>
            <w:tcW w:w="606" w:type="dxa"/>
            <w:tcBorders>
              <w:top w:val="nil"/>
              <w:left w:val="nil"/>
              <w:bottom w:val="nil"/>
              <w:right w:val="nil"/>
            </w:tcBorders>
            <w:shd w:val="clear" w:color="auto" w:fill="auto"/>
            <w:noWrap/>
            <w:vAlign w:val="bottom"/>
            <w:hideMark/>
          </w:tcPr>
          <w:p w14:paraId="02A39DF0"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62%</w:t>
            </w:r>
          </w:p>
        </w:tc>
        <w:tc>
          <w:tcPr>
            <w:tcW w:w="606" w:type="dxa"/>
            <w:tcBorders>
              <w:top w:val="nil"/>
              <w:left w:val="nil"/>
              <w:bottom w:val="nil"/>
              <w:right w:val="nil"/>
            </w:tcBorders>
            <w:shd w:val="clear" w:color="auto" w:fill="auto"/>
            <w:noWrap/>
            <w:vAlign w:val="bottom"/>
            <w:hideMark/>
          </w:tcPr>
          <w:p w14:paraId="59EEB217"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4%</w:t>
            </w:r>
          </w:p>
        </w:tc>
        <w:tc>
          <w:tcPr>
            <w:tcW w:w="271" w:type="dxa"/>
            <w:tcBorders>
              <w:top w:val="nil"/>
              <w:left w:val="nil"/>
              <w:bottom w:val="nil"/>
              <w:right w:val="nil"/>
            </w:tcBorders>
            <w:shd w:val="clear" w:color="auto" w:fill="auto"/>
            <w:noWrap/>
            <w:vAlign w:val="bottom"/>
            <w:hideMark/>
          </w:tcPr>
          <w:p w14:paraId="35330C25" w14:textId="77777777" w:rsidR="001764CC" w:rsidRPr="003E016F" w:rsidRDefault="001764CC" w:rsidP="001764CC">
            <w:pPr>
              <w:spacing w:before="0" w:after="0" w:line="240" w:lineRule="auto"/>
              <w:rPr>
                <w:rFonts w:eastAsia="Times New Roman"/>
                <w:b/>
                <w:bCs/>
                <w:sz w:val="18"/>
                <w:szCs w:val="18"/>
              </w:rPr>
            </w:pPr>
          </w:p>
        </w:tc>
        <w:tc>
          <w:tcPr>
            <w:tcW w:w="557" w:type="dxa"/>
            <w:tcBorders>
              <w:top w:val="nil"/>
              <w:left w:val="nil"/>
              <w:bottom w:val="nil"/>
              <w:right w:val="nil"/>
            </w:tcBorders>
            <w:shd w:val="clear" w:color="auto" w:fill="auto"/>
            <w:noWrap/>
            <w:vAlign w:val="bottom"/>
            <w:hideMark/>
          </w:tcPr>
          <w:p w14:paraId="0265B9F1"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2.1</w:t>
            </w:r>
          </w:p>
        </w:tc>
        <w:tc>
          <w:tcPr>
            <w:tcW w:w="606" w:type="dxa"/>
            <w:tcBorders>
              <w:top w:val="nil"/>
              <w:left w:val="nil"/>
              <w:bottom w:val="nil"/>
              <w:right w:val="nil"/>
            </w:tcBorders>
            <w:shd w:val="clear" w:color="auto" w:fill="auto"/>
            <w:noWrap/>
            <w:vAlign w:val="bottom"/>
            <w:hideMark/>
          </w:tcPr>
          <w:p w14:paraId="139B0581"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62%</w:t>
            </w:r>
          </w:p>
        </w:tc>
        <w:tc>
          <w:tcPr>
            <w:tcW w:w="606" w:type="dxa"/>
            <w:tcBorders>
              <w:top w:val="nil"/>
              <w:left w:val="nil"/>
              <w:bottom w:val="nil"/>
              <w:right w:val="nil"/>
            </w:tcBorders>
            <w:shd w:val="clear" w:color="auto" w:fill="auto"/>
            <w:noWrap/>
            <w:vAlign w:val="bottom"/>
            <w:hideMark/>
          </w:tcPr>
          <w:p w14:paraId="3D2EED1F"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38%</w:t>
            </w:r>
          </w:p>
        </w:tc>
        <w:tc>
          <w:tcPr>
            <w:tcW w:w="509" w:type="dxa"/>
            <w:tcBorders>
              <w:top w:val="nil"/>
              <w:left w:val="nil"/>
              <w:bottom w:val="nil"/>
              <w:right w:val="nil"/>
            </w:tcBorders>
            <w:shd w:val="clear" w:color="auto" w:fill="auto"/>
            <w:noWrap/>
            <w:vAlign w:val="bottom"/>
            <w:hideMark/>
          </w:tcPr>
          <w:p w14:paraId="4C4BA523"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0%</w:t>
            </w:r>
          </w:p>
        </w:tc>
        <w:tc>
          <w:tcPr>
            <w:tcW w:w="271" w:type="dxa"/>
            <w:tcBorders>
              <w:top w:val="nil"/>
              <w:left w:val="nil"/>
              <w:bottom w:val="nil"/>
              <w:right w:val="nil"/>
            </w:tcBorders>
            <w:shd w:val="clear" w:color="auto" w:fill="auto"/>
            <w:noWrap/>
            <w:vAlign w:val="bottom"/>
            <w:hideMark/>
          </w:tcPr>
          <w:p w14:paraId="0D0B189E" w14:textId="77777777" w:rsidR="001764CC" w:rsidRPr="003E016F" w:rsidRDefault="001764CC" w:rsidP="001764CC">
            <w:pPr>
              <w:spacing w:before="0" w:after="0" w:line="240" w:lineRule="auto"/>
              <w:rPr>
                <w:rFonts w:eastAsia="Times New Roman"/>
                <w:b/>
                <w:bCs/>
                <w:sz w:val="20"/>
                <w:szCs w:val="20"/>
              </w:rPr>
            </w:pPr>
          </w:p>
        </w:tc>
        <w:tc>
          <w:tcPr>
            <w:tcW w:w="4037" w:type="dxa"/>
            <w:tcBorders>
              <w:top w:val="nil"/>
              <w:left w:val="nil"/>
              <w:bottom w:val="nil"/>
              <w:right w:val="nil"/>
            </w:tcBorders>
            <w:shd w:val="clear" w:color="auto" w:fill="auto"/>
            <w:noWrap/>
            <w:vAlign w:val="bottom"/>
            <w:hideMark/>
          </w:tcPr>
          <w:p w14:paraId="7DBC2443" w14:textId="77777777" w:rsidR="001764CC" w:rsidRPr="003E016F" w:rsidRDefault="001764CC" w:rsidP="001764CC">
            <w:pPr>
              <w:spacing w:before="0" w:after="0" w:line="240" w:lineRule="auto"/>
              <w:rPr>
                <w:rFonts w:eastAsia="Times New Roman"/>
                <w:b/>
                <w:bCs/>
                <w:color w:val="000000"/>
                <w:sz w:val="20"/>
                <w:szCs w:val="20"/>
              </w:rPr>
            </w:pPr>
            <w:r w:rsidRPr="003E016F">
              <w:rPr>
                <w:rFonts w:eastAsia="Times New Roman"/>
                <w:b/>
                <w:bCs/>
                <w:color w:val="000000"/>
                <w:sz w:val="20"/>
                <w:szCs w:val="20"/>
              </w:rPr>
              <w:t>Culture</w:t>
            </w:r>
          </w:p>
        </w:tc>
      </w:tr>
      <w:tr w:rsidR="001764CC" w:rsidRPr="003E016F" w14:paraId="2A935549" w14:textId="77777777" w:rsidTr="00802B5B">
        <w:trPr>
          <w:trHeight w:val="315"/>
        </w:trPr>
        <w:tc>
          <w:tcPr>
            <w:tcW w:w="997" w:type="dxa"/>
            <w:tcBorders>
              <w:top w:val="nil"/>
              <w:left w:val="nil"/>
              <w:bottom w:val="nil"/>
              <w:right w:val="nil"/>
            </w:tcBorders>
            <w:shd w:val="clear" w:color="auto" w:fill="auto"/>
            <w:noWrap/>
            <w:vAlign w:val="bottom"/>
            <w:hideMark/>
          </w:tcPr>
          <w:p w14:paraId="55D05447"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343E168A"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1.1a</w:t>
            </w:r>
          </w:p>
        </w:tc>
        <w:tc>
          <w:tcPr>
            <w:tcW w:w="606" w:type="dxa"/>
            <w:tcBorders>
              <w:top w:val="nil"/>
              <w:left w:val="nil"/>
              <w:bottom w:val="nil"/>
              <w:right w:val="nil"/>
            </w:tcBorders>
            <w:shd w:val="clear" w:color="auto" w:fill="auto"/>
            <w:noWrap/>
            <w:vAlign w:val="bottom"/>
            <w:hideMark/>
          </w:tcPr>
          <w:p w14:paraId="4CF37171"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38%</w:t>
            </w:r>
          </w:p>
        </w:tc>
        <w:tc>
          <w:tcPr>
            <w:tcW w:w="606" w:type="dxa"/>
            <w:tcBorders>
              <w:top w:val="nil"/>
              <w:left w:val="nil"/>
              <w:bottom w:val="nil"/>
              <w:right w:val="nil"/>
            </w:tcBorders>
            <w:shd w:val="clear" w:color="auto" w:fill="auto"/>
            <w:noWrap/>
            <w:vAlign w:val="bottom"/>
            <w:hideMark/>
          </w:tcPr>
          <w:p w14:paraId="3253D691"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59%</w:t>
            </w:r>
          </w:p>
        </w:tc>
        <w:tc>
          <w:tcPr>
            <w:tcW w:w="606" w:type="dxa"/>
            <w:tcBorders>
              <w:top w:val="nil"/>
              <w:left w:val="nil"/>
              <w:bottom w:val="nil"/>
              <w:right w:val="nil"/>
            </w:tcBorders>
            <w:shd w:val="clear" w:color="auto" w:fill="auto"/>
            <w:noWrap/>
            <w:vAlign w:val="bottom"/>
            <w:hideMark/>
          </w:tcPr>
          <w:p w14:paraId="555B3C56"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w:t>
            </w:r>
          </w:p>
        </w:tc>
        <w:tc>
          <w:tcPr>
            <w:tcW w:w="271" w:type="dxa"/>
            <w:tcBorders>
              <w:top w:val="nil"/>
              <w:left w:val="nil"/>
              <w:bottom w:val="nil"/>
              <w:right w:val="nil"/>
            </w:tcBorders>
            <w:shd w:val="clear" w:color="auto" w:fill="auto"/>
            <w:noWrap/>
            <w:vAlign w:val="bottom"/>
            <w:hideMark/>
          </w:tcPr>
          <w:p w14:paraId="282689E8"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69855AE0" w14:textId="77777777" w:rsidR="001764CC" w:rsidRPr="003E016F" w:rsidRDefault="001764CC" w:rsidP="001764CC">
            <w:pPr>
              <w:spacing w:before="0" w:after="0" w:line="240" w:lineRule="auto"/>
              <w:rPr>
                <w:rFonts w:eastAsia="Times New Roman"/>
                <w:color w:val="000000"/>
                <w:sz w:val="18"/>
                <w:szCs w:val="18"/>
              </w:rPr>
            </w:pPr>
            <w:r w:rsidRPr="003E016F">
              <w:rPr>
                <w:rFonts w:eastAsia="Times New Roman"/>
                <w:color w:val="000000"/>
                <w:sz w:val="18"/>
                <w:szCs w:val="18"/>
              </w:rPr>
              <w:t>2.1a</w:t>
            </w:r>
          </w:p>
        </w:tc>
        <w:tc>
          <w:tcPr>
            <w:tcW w:w="606" w:type="dxa"/>
            <w:tcBorders>
              <w:top w:val="nil"/>
              <w:left w:val="nil"/>
              <w:bottom w:val="nil"/>
              <w:right w:val="nil"/>
            </w:tcBorders>
            <w:shd w:val="clear" w:color="auto" w:fill="auto"/>
            <w:noWrap/>
            <w:vAlign w:val="bottom"/>
            <w:hideMark/>
          </w:tcPr>
          <w:p w14:paraId="3BFC3C29"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61%</w:t>
            </w:r>
          </w:p>
        </w:tc>
        <w:tc>
          <w:tcPr>
            <w:tcW w:w="606" w:type="dxa"/>
            <w:tcBorders>
              <w:top w:val="nil"/>
              <w:left w:val="nil"/>
              <w:bottom w:val="nil"/>
              <w:right w:val="nil"/>
            </w:tcBorders>
            <w:shd w:val="clear" w:color="auto" w:fill="auto"/>
            <w:noWrap/>
            <w:vAlign w:val="bottom"/>
            <w:hideMark/>
          </w:tcPr>
          <w:p w14:paraId="569CC33D"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39%</w:t>
            </w:r>
          </w:p>
        </w:tc>
        <w:tc>
          <w:tcPr>
            <w:tcW w:w="509" w:type="dxa"/>
            <w:tcBorders>
              <w:top w:val="nil"/>
              <w:left w:val="nil"/>
              <w:bottom w:val="nil"/>
              <w:right w:val="nil"/>
            </w:tcBorders>
            <w:shd w:val="clear" w:color="auto" w:fill="auto"/>
            <w:noWrap/>
            <w:vAlign w:val="bottom"/>
            <w:hideMark/>
          </w:tcPr>
          <w:p w14:paraId="56FAECE6"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0%</w:t>
            </w:r>
          </w:p>
        </w:tc>
        <w:tc>
          <w:tcPr>
            <w:tcW w:w="271" w:type="dxa"/>
            <w:tcBorders>
              <w:top w:val="nil"/>
              <w:left w:val="nil"/>
              <w:bottom w:val="nil"/>
              <w:right w:val="nil"/>
            </w:tcBorders>
            <w:shd w:val="clear" w:color="auto" w:fill="auto"/>
            <w:noWrap/>
            <w:vAlign w:val="bottom"/>
            <w:hideMark/>
          </w:tcPr>
          <w:p w14:paraId="735F296A"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24C4BCFF"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Sensitive to cultural diversity/perspective.</w:t>
            </w:r>
          </w:p>
        </w:tc>
      </w:tr>
      <w:tr w:rsidR="001764CC" w:rsidRPr="003E016F" w14:paraId="21C304CA" w14:textId="77777777" w:rsidTr="00802B5B">
        <w:trPr>
          <w:trHeight w:val="315"/>
        </w:trPr>
        <w:tc>
          <w:tcPr>
            <w:tcW w:w="997" w:type="dxa"/>
            <w:tcBorders>
              <w:top w:val="nil"/>
              <w:left w:val="nil"/>
              <w:bottom w:val="nil"/>
              <w:right w:val="nil"/>
            </w:tcBorders>
            <w:shd w:val="clear" w:color="auto" w:fill="auto"/>
            <w:noWrap/>
            <w:vAlign w:val="bottom"/>
            <w:hideMark/>
          </w:tcPr>
          <w:p w14:paraId="713B9268"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156C852A"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1.1b</w:t>
            </w:r>
          </w:p>
        </w:tc>
        <w:tc>
          <w:tcPr>
            <w:tcW w:w="606" w:type="dxa"/>
            <w:tcBorders>
              <w:top w:val="nil"/>
              <w:left w:val="nil"/>
              <w:bottom w:val="nil"/>
              <w:right w:val="nil"/>
            </w:tcBorders>
            <w:shd w:val="clear" w:color="auto" w:fill="auto"/>
            <w:noWrap/>
            <w:vAlign w:val="bottom"/>
            <w:hideMark/>
          </w:tcPr>
          <w:p w14:paraId="7F3D4697"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32%</w:t>
            </w:r>
          </w:p>
        </w:tc>
        <w:tc>
          <w:tcPr>
            <w:tcW w:w="606" w:type="dxa"/>
            <w:tcBorders>
              <w:top w:val="nil"/>
              <w:left w:val="nil"/>
              <w:bottom w:val="nil"/>
              <w:right w:val="nil"/>
            </w:tcBorders>
            <w:shd w:val="clear" w:color="auto" w:fill="auto"/>
            <w:noWrap/>
            <w:vAlign w:val="bottom"/>
            <w:hideMark/>
          </w:tcPr>
          <w:p w14:paraId="6CCA00BE"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68%</w:t>
            </w:r>
          </w:p>
        </w:tc>
        <w:tc>
          <w:tcPr>
            <w:tcW w:w="606" w:type="dxa"/>
            <w:tcBorders>
              <w:top w:val="nil"/>
              <w:left w:val="nil"/>
              <w:bottom w:val="nil"/>
              <w:right w:val="nil"/>
            </w:tcBorders>
            <w:shd w:val="clear" w:color="auto" w:fill="auto"/>
            <w:noWrap/>
            <w:vAlign w:val="bottom"/>
            <w:hideMark/>
          </w:tcPr>
          <w:p w14:paraId="1C8B7CD3"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0%</w:t>
            </w:r>
          </w:p>
        </w:tc>
        <w:tc>
          <w:tcPr>
            <w:tcW w:w="271" w:type="dxa"/>
            <w:tcBorders>
              <w:top w:val="nil"/>
              <w:left w:val="nil"/>
              <w:bottom w:val="nil"/>
              <w:right w:val="nil"/>
            </w:tcBorders>
            <w:shd w:val="clear" w:color="auto" w:fill="auto"/>
            <w:noWrap/>
            <w:vAlign w:val="bottom"/>
            <w:hideMark/>
          </w:tcPr>
          <w:p w14:paraId="2E40719C"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79534808"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2.1b</w:t>
            </w:r>
          </w:p>
        </w:tc>
        <w:tc>
          <w:tcPr>
            <w:tcW w:w="606" w:type="dxa"/>
            <w:tcBorders>
              <w:top w:val="nil"/>
              <w:left w:val="nil"/>
              <w:bottom w:val="nil"/>
              <w:right w:val="nil"/>
            </w:tcBorders>
            <w:shd w:val="clear" w:color="auto" w:fill="auto"/>
            <w:noWrap/>
            <w:vAlign w:val="bottom"/>
            <w:hideMark/>
          </w:tcPr>
          <w:p w14:paraId="0AFF5D5C"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69%</w:t>
            </w:r>
          </w:p>
        </w:tc>
        <w:tc>
          <w:tcPr>
            <w:tcW w:w="606" w:type="dxa"/>
            <w:tcBorders>
              <w:top w:val="nil"/>
              <w:left w:val="nil"/>
              <w:bottom w:val="nil"/>
              <w:right w:val="nil"/>
            </w:tcBorders>
            <w:shd w:val="clear" w:color="auto" w:fill="auto"/>
            <w:noWrap/>
            <w:vAlign w:val="bottom"/>
            <w:hideMark/>
          </w:tcPr>
          <w:p w14:paraId="01AD4F0B"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31%</w:t>
            </w:r>
          </w:p>
        </w:tc>
        <w:tc>
          <w:tcPr>
            <w:tcW w:w="509" w:type="dxa"/>
            <w:tcBorders>
              <w:top w:val="nil"/>
              <w:left w:val="nil"/>
              <w:bottom w:val="nil"/>
              <w:right w:val="nil"/>
            </w:tcBorders>
            <w:shd w:val="clear" w:color="auto" w:fill="auto"/>
            <w:noWrap/>
            <w:vAlign w:val="bottom"/>
            <w:hideMark/>
          </w:tcPr>
          <w:p w14:paraId="70BE0A72"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0%</w:t>
            </w:r>
          </w:p>
        </w:tc>
        <w:tc>
          <w:tcPr>
            <w:tcW w:w="271" w:type="dxa"/>
            <w:tcBorders>
              <w:top w:val="nil"/>
              <w:left w:val="nil"/>
              <w:bottom w:val="nil"/>
              <w:right w:val="nil"/>
            </w:tcBorders>
            <w:shd w:val="clear" w:color="auto" w:fill="auto"/>
            <w:noWrap/>
            <w:vAlign w:val="bottom"/>
            <w:hideMark/>
          </w:tcPr>
          <w:p w14:paraId="45A3B31F"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341B98D5"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Willing to learn/interact with other cultures</w:t>
            </w:r>
          </w:p>
        </w:tc>
      </w:tr>
      <w:tr w:rsidR="001764CC" w:rsidRPr="003E016F" w14:paraId="33F6D6A8" w14:textId="77777777" w:rsidTr="00802B5B">
        <w:trPr>
          <w:trHeight w:val="315"/>
        </w:trPr>
        <w:tc>
          <w:tcPr>
            <w:tcW w:w="997" w:type="dxa"/>
            <w:tcBorders>
              <w:top w:val="nil"/>
              <w:left w:val="nil"/>
              <w:bottom w:val="nil"/>
              <w:right w:val="nil"/>
            </w:tcBorders>
            <w:shd w:val="clear" w:color="auto" w:fill="auto"/>
            <w:noWrap/>
            <w:vAlign w:val="bottom"/>
            <w:hideMark/>
          </w:tcPr>
          <w:p w14:paraId="519B71F4"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536F7CCC"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1.1c</w:t>
            </w:r>
          </w:p>
        </w:tc>
        <w:tc>
          <w:tcPr>
            <w:tcW w:w="606" w:type="dxa"/>
            <w:tcBorders>
              <w:top w:val="nil"/>
              <w:left w:val="nil"/>
              <w:bottom w:val="nil"/>
              <w:right w:val="nil"/>
            </w:tcBorders>
            <w:shd w:val="clear" w:color="auto" w:fill="auto"/>
            <w:noWrap/>
            <w:vAlign w:val="bottom"/>
            <w:hideMark/>
          </w:tcPr>
          <w:p w14:paraId="7713922C"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32%</w:t>
            </w:r>
          </w:p>
        </w:tc>
        <w:tc>
          <w:tcPr>
            <w:tcW w:w="606" w:type="dxa"/>
            <w:tcBorders>
              <w:top w:val="nil"/>
              <w:left w:val="nil"/>
              <w:bottom w:val="nil"/>
              <w:right w:val="nil"/>
            </w:tcBorders>
            <w:shd w:val="clear" w:color="auto" w:fill="auto"/>
            <w:noWrap/>
            <w:vAlign w:val="bottom"/>
            <w:hideMark/>
          </w:tcPr>
          <w:p w14:paraId="44DB89AF"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59%</w:t>
            </w:r>
          </w:p>
        </w:tc>
        <w:tc>
          <w:tcPr>
            <w:tcW w:w="606" w:type="dxa"/>
            <w:tcBorders>
              <w:top w:val="nil"/>
              <w:left w:val="nil"/>
              <w:bottom w:val="nil"/>
              <w:right w:val="nil"/>
            </w:tcBorders>
            <w:shd w:val="clear" w:color="auto" w:fill="auto"/>
            <w:noWrap/>
            <w:vAlign w:val="bottom"/>
            <w:hideMark/>
          </w:tcPr>
          <w:p w14:paraId="353DE766"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8%</w:t>
            </w:r>
          </w:p>
        </w:tc>
        <w:tc>
          <w:tcPr>
            <w:tcW w:w="271" w:type="dxa"/>
            <w:tcBorders>
              <w:top w:val="nil"/>
              <w:left w:val="nil"/>
              <w:bottom w:val="nil"/>
              <w:right w:val="nil"/>
            </w:tcBorders>
            <w:shd w:val="clear" w:color="auto" w:fill="auto"/>
            <w:noWrap/>
            <w:vAlign w:val="bottom"/>
            <w:hideMark/>
          </w:tcPr>
          <w:p w14:paraId="22E31251"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7C42743B"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2.1c</w:t>
            </w:r>
          </w:p>
        </w:tc>
        <w:tc>
          <w:tcPr>
            <w:tcW w:w="606" w:type="dxa"/>
            <w:tcBorders>
              <w:top w:val="nil"/>
              <w:left w:val="nil"/>
              <w:bottom w:val="nil"/>
              <w:right w:val="nil"/>
            </w:tcBorders>
            <w:shd w:val="clear" w:color="auto" w:fill="auto"/>
            <w:noWrap/>
            <w:vAlign w:val="bottom"/>
            <w:hideMark/>
          </w:tcPr>
          <w:p w14:paraId="1C71EE3A"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56%</w:t>
            </w:r>
          </w:p>
        </w:tc>
        <w:tc>
          <w:tcPr>
            <w:tcW w:w="606" w:type="dxa"/>
            <w:tcBorders>
              <w:top w:val="nil"/>
              <w:left w:val="nil"/>
              <w:bottom w:val="nil"/>
              <w:right w:val="nil"/>
            </w:tcBorders>
            <w:shd w:val="clear" w:color="auto" w:fill="auto"/>
            <w:noWrap/>
            <w:vAlign w:val="bottom"/>
            <w:hideMark/>
          </w:tcPr>
          <w:p w14:paraId="59CCE509"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44%</w:t>
            </w:r>
          </w:p>
        </w:tc>
        <w:tc>
          <w:tcPr>
            <w:tcW w:w="509" w:type="dxa"/>
            <w:tcBorders>
              <w:top w:val="nil"/>
              <w:left w:val="nil"/>
              <w:bottom w:val="nil"/>
              <w:right w:val="nil"/>
            </w:tcBorders>
            <w:shd w:val="clear" w:color="auto" w:fill="auto"/>
            <w:noWrap/>
            <w:vAlign w:val="bottom"/>
            <w:hideMark/>
          </w:tcPr>
          <w:p w14:paraId="247B6C6D"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0%</w:t>
            </w:r>
          </w:p>
        </w:tc>
        <w:tc>
          <w:tcPr>
            <w:tcW w:w="271" w:type="dxa"/>
            <w:tcBorders>
              <w:top w:val="nil"/>
              <w:left w:val="nil"/>
              <w:bottom w:val="nil"/>
              <w:right w:val="nil"/>
            </w:tcBorders>
            <w:shd w:val="clear" w:color="auto" w:fill="auto"/>
            <w:noWrap/>
            <w:vAlign w:val="bottom"/>
            <w:hideMark/>
          </w:tcPr>
          <w:p w14:paraId="2DFB697D"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210ABCB9"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Promotes tolerance/diversity</w:t>
            </w:r>
          </w:p>
        </w:tc>
      </w:tr>
      <w:tr w:rsidR="001764CC" w:rsidRPr="003E016F" w14:paraId="18FE3531" w14:textId="77777777" w:rsidTr="00802B5B">
        <w:trPr>
          <w:trHeight w:val="315"/>
        </w:trPr>
        <w:tc>
          <w:tcPr>
            <w:tcW w:w="997" w:type="dxa"/>
            <w:tcBorders>
              <w:top w:val="nil"/>
              <w:left w:val="nil"/>
              <w:bottom w:val="nil"/>
              <w:right w:val="nil"/>
            </w:tcBorders>
            <w:shd w:val="clear" w:color="auto" w:fill="auto"/>
            <w:noWrap/>
            <w:vAlign w:val="bottom"/>
            <w:hideMark/>
          </w:tcPr>
          <w:p w14:paraId="1F95AF85"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Average</w:t>
            </w:r>
          </w:p>
        </w:tc>
        <w:tc>
          <w:tcPr>
            <w:tcW w:w="531" w:type="dxa"/>
            <w:tcBorders>
              <w:top w:val="nil"/>
              <w:left w:val="nil"/>
              <w:bottom w:val="nil"/>
              <w:right w:val="nil"/>
            </w:tcBorders>
            <w:shd w:val="clear" w:color="auto" w:fill="auto"/>
            <w:noWrap/>
            <w:vAlign w:val="bottom"/>
            <w:hideMark/>
          </w:tcPr>
          <w:p w14:paraId="4C7B358A"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1.2</w:t>
            </w:r>
          </w:p>
        </w:tc>
        <w:tc>
          <w:tcPr>
            <w:tcW w:w="606" w:type="dxa"/>
            <w:tcBorders>
              <w:top w:val="nil"/>
              <w:left w:val="nil"/>
              <w:bottom w:val="nil"/>
              <w:right w:val="nil"/>
            </w:tcBorders>
            <w:shd w:val="clear" w:color="auto" w:fill="auto"/>
            <w:noWrap/>
            <w:vAlign w:val="bottom"/>
            <w:hideMark/>
          </w:tcPr>
          <w:p w14:paraId="2DC1E020"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15%</w:t>
            </w:r>
          </w:p>
        </w:tc>
        <w:tc>
          <w:tcPr>
            <w:tcW w:w="606" w:type="dxa"/>
            <w:tcBorders>
              <w:top w:val="nil"/>
              <w:left w:val="nil"/>
              <w:bottom w:val="nil"/>
              <w:right w:val="nil"/>
            </w:tcBorders>
            <w:shd w:val="clear" w:color="auto" w:fill="auto"/>
            <w:noWrap/>
            <w:vAlign w:val="bottom"/>
            <w:hideMark/>
          </w:tcPr>
          <w:p w14:paraId="01C0022C"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61%</w:t>
            </w:r>
          </w:p>
        </w:tc>
        <w:tc>
          <w:tcPr>
            <w:tcW w:w="606" w:type="dxa"/>
            <w:tcBorders>
              <w:top w:val="nil"/>
              <w:left w:val="nil"/>
              <w:bottom w:val="nil"/>
              <w:right w:val="nil"/>
            </w:tcBorders>
            <w:shd w:val="clear" w:color="auto" w:fill="auto"/>
            <w:noWrap/>
            <w:vAlign w:val="bottom"/>
            <w:hideMark/>
          </w:tcPr>
          <w:p w14:paraId="3E1FFD98"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24%</w:t>
            </w:r>
          </w:p>
        </w:tc>
        <w:tc>
          <w:tcPr>
            <w:tcW w:w="271" w:type="dxa"/>
            <w:tcBorders>
              <w:top w:val="nil"/>
              <w:left w:val="nil"/>
              <w:bottom w:val="nil"/>
              <w:right w:val="nil"/>
            </w:tcBorders>
            <w:shd w:val="clear" w:color="auto" w:fill="auto"/>
            <w:noWrap/>
            <w:vAlign w:val="bottom"/>
            <w:hideMark/>
          </w:tcPr>
          <w:p w14:paraId="6C507F1E" w14:textId="77777777" w:rsidR="001764CC" w:rsidRPr="003E016F" w:rsidRDefault="001764CC" w:rsidP="001764CC">
            <w:pPr>
              <w:spacing w:before="0" w:after="0" w:line="240" w:lineRule="auto"/>
              <w:rPr>
                <w:rFonts w:eastAsia="Times New Roman"/>
                <w:b/>
                <w:bCs/>
                <w:sz w:val="18"/>
                <w:szCs w:val="18"/>
              </w:rPr>
            </w:pPr>
          </w:p>
        </w:tc>
        <w:tc>
          <w:tcPr>
            <w:tcW w:w="557" w:type="dxa"/>
            <w:tcBorders>
              <w:top w:val="nil"/>
              <w:left w:val="nil"/>
              <w:bottom w:val="nil"/>
              <w:right w:val="nil"/>
            </w:tcBorders>
            <w:shd w:val="clear" w:color="auto" w:fill="auto"/>
            <w:noWrap/>
            <w:vAlign w:val="bottom"/>
            <w:hideMark/>
          </w:tcPr>
          <w:p w14:paraId="67299D01"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2.2</w:t>
            </w:r>
          </w:p>
        </w:tc>
        <w:tc>
          <w:tcPr>
            <w:tcW w:w="606" w:type="dxa"/>
            <w:tcBorders>
              <w:top w:val="nil"/>
              <w:left w:val="nil"/>
              <w:bottom w:val="nil"/>
              <w:right w:val="nil"/>
            </w:tcBorders>
            <w:shd w:val="clear" w:color="auto" w:fill="auto"/>
            <w:noWrap/>
            <w:vAlign w:val="bottom"/>
            <w:hideMark/>
          </w:tcPr>
          <w:p w14:paraId="427919FD"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37%</w:t>
            </w:r>
          </w:p>
        </w:tc>
        <w:tc>
          <w:tcPr>
            <w:tcW w:w="606" w:type="dxa"/>
            <w:tcBorders>
              <w:top w:val="nil"/>
              <w:left w:val="nil"/>
              <w:bottom w:val="nil"/>
              <w:right w:val="nil"/>
            </w:tcBorders>
            <w:shd w:val="clear" w:color="auto" w:fill="auto"/>
            <w:noWrap/>
            <w:vAlign w:val="bottom"/>
            <w:hideMark/>
          </w:tcPr>
          <w:p w14:paraId="3AE6C498"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60%</w:t>
            </w:r>
          </w:p>
        </w:tc>
        <w:tc>
          <w:tcPr>
            <w:tcW w:w="509" w:type="dxa"/>
            <w:tcBorders>
              <w:top w:val="nil"/>
              <w:left w:val="nil"/>
              <w:bottom w:val="nil"/>
              <w:right w:val="nil"/>
            </w:tcBorders>
            <w:shd w:val="clear" w:color="auto" w:fill="auto"/>
            <w:noWrap/>
            <w:vAlign w:val="bottom"/>
            <w:hideMark/>
          </w:tcPr>
          <w:p w14:paraId="4210D236"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3%</w:t>
            </w:r>
          </w:p>
        </w:tc>
        <w:tc>
          <w:tcPr>
            <w:tcW w:w="271" w:type="dxa"/>
            <w:tcBorders>
              <w:top w:val="nil"/>
              <w:left w:val="nil"/>
              <w:bottom w:val="nil"/>
              <w:right w:val="nil"/>
            </w:tcBorders>
            <w:shd w:val="clear" w:color="auto" w:fill="auto"/>
            <w:noWrap/>
            <w:vAlign w:val="bottom"/>
            <w:hideMark/>
          </w:tcPr>
          <w:p w14:paraId="1A5D370A" w14:textId="77777777" w:rsidR="001764CC" w:rsidRPr="003E016F" w:rsidRDefault="001764CC" w:rsidP="001764CC">
            <w:pPr>
              <w:spacing w:before="0" w:after="0" w:line="240" w:lineRule="auto"/>
              <w:rPr>
                <w:rFonts w:eastAsia="Times New Roman"/>
                <w:b/>
                <w:bCs/>
                <w:sz w:val="20"/>
                <w:szCs w:val="20"/>
              </w:rPr>
            </w:pPr>
          </w:p>
        </w:tc>
        <w:tc>
          <w:tcPr>
            <w:tcW w:w="4037" w:type="dxa"/>
            <w:tcBorders>
              <w:top w:val="nil"/>
              <w:left w:val="nil"/>
              <w:bottom w:val="nil"/>
              <w:right w:val="nil"/>
            </w:tcBorders>
            <w:shd w:val="clear" w:color="auto" w:fill="auto"/>
            <w:noWrap/>
            <w:vAlign w:val="bottom"/>
            <w:hideMark/>
          </w:tcPr>
          <w:p w14:paraId="051530CF" w14:textId="77777777" w:rsidR="001764CC" w:rsidRPr="003E016F" w:rsidRDefault="001764CC" w:rsidP="001764CC">
            <w:pPr>
              <w:spacing w:before="0" w:after="0" w:line="240" w:lineRule="auto"/>
              <w:rPr>
                <w:rFonts w:eastAsia="Times New Roman"/>
                <w:b/>
                <w:bCs/>
                <w:color w:val="000000"/>
                <w:sz w:val="20"/>
                <w:szCs w:val="20"/>
              </w:rPr>
            </w:pPr>
            <w:r w:rsidRPr="003E016F">
              <w:rPr>
                <w:rFonts w:eastAsia="Times New Roman"/>
                <w:b/>
                <w:bCs/>
                <w:color w:val="000000"/>
                <w:sz w:val="20"/>
                <w:szCs w:val="20"/>
              </w:rPr>
              <w:t>Communication</w:t>
            </w:r>
          </w:p>
        </w:tc>
      </w:tr>
      <w:tr w:rsidR="001764CC" w:rsidRPr="003E016F" w14:paraId="6AD11587" w14:textId="77777777" w:rsidTr="00802B5B">
        <w:trPr>
          <w:trHeight w:val="315"/>
        </w:trPr>
        <w:tc>
          <w:tcPr>
            <w:tcW w:w="997" w:type="dxa"/>
            <w:tcBorders>
              <w:top w:val="nil"/>
              <w:left w:val="nil"/>
              <w:bottom w:val="nil"/>
              <w:right w:val="nil"/>
            </w:tcBorders>
            <w:shd w:val="clear" w:color="auto" w:fill="auto"/>
            <w:noWrap/>
            <w:vAlign w:val="bottom"/>
            <w:hideMark/>
          </w:tcPr>
          <w:p w14:paraId="6B4B50EB"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436C4972"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1.2a</w:t>
            </w:r>
          </w:p>
        </w:tc>
        <w:tc>
          <w:tcPr>
            <w:tcW w:w="606" w:type="dxa"/>
            <w:tcBorders>
              <w:top w:val="nil"/>
              <w:left w:val="nil"/>
              <w:bottom w:val="nil"/>
              <w:right w:val="nil"/>
            </w:tcBorders>
            <w:shd w:val="clear" w:color="auto" w:fill="auto"/>
            <w:noWrap/>
            <w:vAlign w:val="bottom"/>
            <w:hideMark/>
          </w:tcPr>
          <w:p w14:paraId="2C4A80D8"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16%</w:t>
            </w:r>
          </w:p>
        </w:tc>
        <w:tc>
          <w:tcPr>
            <w:tcW w:w="606" w:type="dxa"/>
            <w:tcBorders>
              <w:top w:val="nil"/>
              <w:left w:val="nil"/>
              <w:bottom w:val="nil"/>
              <w:right w:val="nil"/>
            </w:tcBorders>
            <w:shd w:val="clear" w:color="auto" w:fill="auto"/>
            <w:noWrap/>
            <w:vAlign w:val="bottom"/>
            <w:hideMark/>
          </w:tcPr>
          <w:p w14:paraId="413D9D8F"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57%</w:t>
            </w:r>
          </w:p>
        </w:tc>
        <w:tc>
          <w:tcPr>
            <w:tcW w:w="606" w:type="dxa"/>
            <w:tcBorders>
              <w:top w:val="nil"/>
              <w:left w:val="nil"/>
              <w:bottom w:val="nil"/>
              <w:right w:val="nil"/>
            </w:tcBorders>
            <w:shd w:val="clear" w:color="auto" w:fill="auto"/>
            <w:noWrap/>
            <w:vAlign w:val="bottom"/>
            <w:hideMark/>
          </w:tcPr>
          <w:p w14:paraId="73D24E8A"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27%</w:t>
            </w:r>
          </w:p>
        </w:tc>
        <w:tc>
          <w:tcPr>
            <w:tcW w:w="271" w:type="dxa"/>
            <w:tcBorders>
              <w:top w:val="nil"/>
              <w:left w:val="nil"/>
              <w:bottom w:val="nil"/>
              <w:right w:val="nil"/>
            </w:tcBorders>
            <w:shd w:val="clear" w:color="auto" w:fill="auto"/>
            <w:noWrap/>
            <w:vAlign w:val="bottom"/>
            <w:hideMark/>
          </w:tcPr>
          <w:p w14:paraId="661BEAEF"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5810B4C1"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2.2a</w:t>
            </w:r>
          </w:p>
        </w:tc>
        <w:tc>
          <w:tcPr>
            <w:tcW w:w="606" w:type="dxa"/>
            <w:tcBorders>
              <w:top w:val="nil"/>
              <w:left w:val="nil"/>
              <w:bottom w:val="nil"/>
              <w:right w:val="nil"/>
            </w:tcBorders>
            <w:shd w:val="clear" w:color="auto" w:fill="auto"/>
            <w:noWrap/>
            <w:vAlign w:val="bottom"/>
            <w:hideMark/>
          </w:tcPr>
          <w:p w14:paraId="13F33977"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31%</w:t>
            </w:r>
          </w:p>
        </w:tc>
        <w:tc>
          <w:tcPr>
            <w:tcW w:w="606" w:type="dxa"/>
            <w:tcBorders>
              <w:top w:val="nil"/>
              <w:left w:val="nil"/>
              <w:bottom w:val="nil"/>
              <w:right w:val="nil"/>
            </w:tcBorders>
            <w:shd w:val="clear" w:color="auto" w:fill="auto"/>
            <w:noWrap/>
            <w:vAlign w:val="bottom"/>
            <w:hideMark/>
          </w:tcPr>
          <w:p w14:paraId="74F04C8A"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67%</w:t>
            </w:r>
          </w:p>
        </w:tc>
        <w:tc>
          <w:tcPr>
            <w:tcW w:w="509" w:type="dxa"/>
            <w:tcBorders>
              <w:top w:val="nil"/>
              <w:left w:val="nil"/>
              <w:bottom w:val="nil"/>
              <w:right w:val="nil"/>
            </w:tcBorders>
            <w:shd w:val="clear" w:color="auto" w:fill="auto"/>
            <w:noWrap/>
            <w:vAlign w:val="bottom"/>
            <w:hideMark/>
          </w:tcPr>
          <w:p w14:paraId="41B540D2"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w:t>
            </w:r>
          </w:p>
        </w:tc>
        <w:tc>
          <w:tcPr>
            <w:tcW w:w="271" w:type="dxa"/>
            <w:tcBorders>
              <w:top w:val="nil"/>
              <w:left w:val="nil"/>
              <w:bottom w:val="nil"/>
              <w:right w:val="nil"/>
            </w:tcBorders>
            <w:shd w:val="clear" w:color="auto" w:fill="auto"/>
            <w:noWrap/>
            <w:vAlign w:val="bottom"/>
            <w:hideMark/>
          </w:tcPr>
          <w:p w14:paraId="61848756"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3448E049"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Understanding of verbal/nonverbal</w:t>
            </w:r>
          </w:p>
        </w:tc>
      </w:tr>
      <w:tr w:rsidR="001764CC" w:rsidRPr="003E016F" w14:paraId="07248316" w14:textId="77777777" w:rsidTr="00802B5B">
        <w:trPr>
          <w:trHeight w:val="315"/>
        </w:trPr>
        <w:tc>
          <w:tcPr>
            <w:tcW w:w="997" w:type="dxa"/>
            <w:tcBorders>
              <w:top w:val="nil"/>
              <w:left w:val="nil"/>
              <w:bottom w:val="nil"/>
              <w:right w:val="nil"/>
            </w:tcBorders>
            <w:shd w:val="clear" w:color="auto" w:fill="auto"/>
            <w:noWrap/>
            <w:vAlign w:val="bottom"/>
            <w:hideMark/>
          </w:tcPr>
          <w:p w14:paraId="7233C10B"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4681BD81"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1.2b</w:t>
            </w:r>
          </w:p>
        </w:tc>
        <w:tc>
          <w:tcPr>
            <w:tcW w:w="606" w:type="dxa"/>
            <w:tcBorders>
              <w:top w:val="nil"/>
              <w:left w:val="nil"/>
              <w:bottom w:val="nil"/>
              <w:right w:val="nil"/>
            </w:tcBorders>
            <w:shd w:val="clear" w:color="auto" w:fill="auto"/>
            <w:noWrap/>
            <w:vAlign w:val="bottom"/>
            <w:hideMark/>
          </w:tcPr>
          <w:p w14:paraId="7A4FD71A"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16%</w:t>
            </w:r>
          </w:p>
        </w:tc>
        <w:tc>
          <w:tcPr>
            <w:tcW w:w="606" w:type="dxa"/>
            <w:tcBorders>
              <w:top w:val="nil"/>
              <w:left w:val="nil"/>
              <w:bottom w:val="nil"/>
              <w:right w:val="nil"/>
            </w:tcBorders>
            <w:shd w:val="clear" w:color="auto" w:fill="auto"/>
            <w:noWrap/>
            <w:vAlign w:val="bottom"/>
            <w:hideMark/>
          </w:tcPr>
          <w:p w14:paraId="63FBE718"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59%</w:t>
            </w:r>
          </w:p>
        </w:tc>
        <w:tc>
          <w:tcPr>
            <w:tcW w:w="606" w:type="dxa"/>
            <w:tcBorders>
              <w:top w:val="nil"/>
              <w:left w:val="nil"/>
              <w:bottom w:val="nil"/>
              <w:right w:val="nil"/>
            </w:tcBorders>
            <w:shd w:val="clear" w:color="auto" w:fill="auto"/>
            <w:noWrap/>
            <w:vAlign w:val="bottom"/>
            <w:hideMark/>
          </w:tcPr>
          <w:p w14:paraId="51DD7E3A"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24%</w:t>
            </w:r>
          </w:p>
        </w:tc>
        <w:tc>
          <w:tcPr>
            <w:tcW w:w="271" w:type="dxa"/>
            <w:tcBorders>
              <w:top w:val="nil"/>
              <w:left w:val="nil"/>
              <w:bottom w:val="nil"/>
              <w:right w:val="nil"/>
            </w:tcBorders>
            <w:shd w:val="clear" w:color="auto" w:fill="auto"/>
            <w:noWrap/>
            <w:vAlign w:val="bottom"/>
            <w:hideMark/>
          </w:tcPr>
          <w:p w14:paraId="3940503C"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7352ED7A"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2.2b</w:t>
            </w:r>
          </w:p>
        </w:tc>
        <w:tc>
          <w:tcPr>
            <w:tcW w:w="606" w:type="dxa"/>
            <w:tcBorders>
              <w:top w:val="nil"/>
              <w:left w:val="nil"/>
              <w:bottom w:val="nil"/>
              <w:right w:val="nil"/>
            </w:tcBorders>
            <w:shd w:val="clear" w:color="auto" w:fill="auto"/>
            <w:noWrap/>
            <w:vAlign w:val="bottom"/>
            <w:hideMark/>
          </w:tcPr>
          <w:p w14:paraId="4F6D5FCC"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36%</w:t>
            </w:r>
          </w:p>
        </w:tc>
        <w:tc>
          <w:tcPr>
            <w:tcW w:w="606" w:type="dxa"/>
            <w:tcBorders>
              <w:top w:val="nil"/>
              <w:left w:val="nil"/>
              <w:bottom w:val="nil"/>
              <w:right w:val="nil"/>
            </w:tcBorders>
            <w:shd w:val="clear" w:color="auto" w:fill="auto"/>
            <w:noWrap/>
            <w:vAlign w:val="bottom"/>
            <w:hideMark/>
          </w:tcPr>
          <w:p w14:paraId="32010654"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61%</w:t>
            </w:r>
          </w:p>
        </w:tc>
        <w:tc>
          <w:tcPr>
            <w:tcW w:w="509" w:type="dxa"/>
            <w:tcBorders>
              <w:top w:val="nil"/>
              <w:left w:val="nil"/>
              <w:bottom w:val="nil"/>
              <w:right w:val="nil"/>
            </w:tcBorders>
            <w:shd w:val="clear" w:color="auto" w:fill="auto"/>
            <w:noWrap/>
            <w:vAlign w:val="bottom"/>
            <w:hideMark/>
          </w:tcPr>
          <w:p w14:paraId="6C5C8999"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w:t>
            </w:r>
          </w:p>
        </w:tc>
        <w:tc>
          <w:tcPr>
            <w:tcW w:w="271" w:type="dxa"/>
            <w:tcBorders>
              <w:top w:val="nil"/>
              <w:left w:val="nil"/>
              <w:bottom w:val="nil"/>
              <w:right w:val="nil"/>
            </w:tcBorders>
            <w:shd w:val="clear" w:color="auto" w:fill="auto"/>
            <w:noWrap/>
            <w:vAlign w:val="bottom"/>
            <w:hideMark/>
          </w:tcPr>
          <w:p w14:paraId="35179E8E"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662A7DAF"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Appropriate use of spoken/written language</w:t>
            </w:r>
          </w:p>
        </w:tc>
      </w:tr>
      <w:tr w:rsidR="001764CC" w:rsidRPr="003E016F" w14:paraId="46E5FD37" w14:textId="77777777" w:rsidTr="00802B5B">
        <w:trPr>
          <w:trHeight w:val="315"/>
        </w:trPr>
        <w:tc>
          <w:tcPr>
            <w:tcW w:w="997" w:type="dxa"/>
            <w:tcBorders>
              <w:top w:val="nil"/>
              <w:left w:val="nil"/>
              <w:bottom w:val="nil"/>
              <w:right w:val="nil"/>
            </w:tcBorders>
            <w:shd w:val="clear" w:color="auto" w:fill="auto"/>
            <w:noWrap/>
            <w:vAlign w:val="bottom"/>
            <w:hideMark/>
          </w:tcPr>
          <w:p w14:paraId="1EC594AC"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1CE54E5F"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1.2c</w:t>
            </w:r>
          </w:p>
        </w:tc>
        <w:tc>
          <w:tcPr>
            <w:tcW w:w="606" w:type="dxa"/>
            <w:tcBorders>
              <w:top w:val="nil"/>
              <w:left w:val="nil"/>
              <w:bottom w:val="nil"/>
              <w:right w:val="nil"/>
            </w:tcBorders>
            <w:shd w:val="clear" w:color="auto" w:fill="auto"/>
            <w:noWrap/>
            <w:vAlign w:val="bottom"/>
            <w:hideMark/>
          </w:tcPr>
          <w:p w14:paraId="23FC5BB8"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14%</w:t>
            </w:r>
          </w:p>
        </w:tc>
        <w:tc>
          <w:tcPr>
            <w:tcW w:w="606" w:type="dxa"/>
            <w:tcBorders>
              <w:top w:val="nil"/>
              <w:left w:val="nil"/>
              <w:bottom w:val="nil"/>
              <w:right w:val="nil"/>
            </w:tcBorders>
            <w:shd w:val="clear" w:color="auto" w:fill="auto"/>
            <w:noWrap/>
            <w:vAlign w:val="bottom"/>
            <w:hideMark/>
          </w:tcPr>
          <w:p w14:paraId="23576714"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65%</w:t>
            </w:r>
          </w:p>
        </w:tc>
        <w:tc>
          <w:tcPr>
            <w:tcW w:w="606" w:type="dxa"/>
            <w:tcBorders>
              <w:top w:val="nil"/>
              <w:left w:val="nil"/>
              <w:bottom w:val="nil"/>
              <w:right w:val="nil"/>
            </w:tcBorders>
            <w:shd w:val="clear" w:color="auto" w:fill="auto"/>
            <w:noWrap/>
            <w:vAlign w:val="bottom"/>
            <w:hideMark/>
          </w:tcPr>
          <w:p w14:paraId="6B1A3DCF"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22%</w:t>
            </w:r>
          </w:p>
        </w:tc>
        <w:tc>
          <w:tcPr>
            <w:tcW w:w="271" w:type="dxa"/>
            <w:tcBorders>
              <w:top w:val="nil"/>
              <w:left w:val="nil"/>
              <w:bottom w:val="nil"/>
              <w:right w:val="nil"/>
            </w:tcBorders>
            <w:shd w:val="clear" w:color="auto" w:fill="auto"/>
            <w:noWrap/>
            <w:vAlign w:val="bottom"/>
            <w:hideMark/>
          </w:tcPr>
          <w:p w14:paraId="68C21C57"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79C63667"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2.2c</w:t>
            </w:r>
          </w:p>
        </w:tc>
        <w:tc>
          <w:tcPr>
            <w:tcW w:w="606" w:type="dxa"/>
            <w:tcBorders>
              <w:top w:val="nil"/>
              <w:left w:val="nil"/>
              <w:bottom w:val="nil"/>
              <w:right w:val="nil"/>
            </w:tcBorders>
            <w:shd w:val="clear" w:color="auto" w:fill="auto"/>
            <w:noWrap/>
            <w:vAlign w:val="bottom"/>
            <w:hideMark/>
          </w:tcPr>
          <w:p w14:paraId="442216D6"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42%</w:t>
            </w:r>
          </w:p>
        </w:tc>
        <w:tc>
          <w:tcPr>
            <w:tcW w:w="606" w:type="dxa"/>
            <w:tcBorders>
              <w:top w:val="nil"/>
              <w:left w:val="nil"/>
              <w:bottom w:val="nil"/>
              <w:right w:val="nil"/>
            </w:tcBorders>
            <w:shd w:val="clear" w:color="auto" w:fill="auto"/>
            <w:noWrap/>
            <w:vAlign w:val="bottom"/>
            <w:hideMark/>
          </w:tcPr>
          <w:p w14:paraId="6AD2EEAD"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56%</w:t>
            </w:r>
          </w:p>
        </w:tc>
        <w:tc>
          <w:tcPr>
            <w:tcW w:w="509" w:type="dxa"/>
            <w:tcBorders>
              <w:top w:val="nil"/>
              <w:left w:val="nil"/>
              <w:bottom w:val="nil"/>
              <w:right w:val="nil"/>
            </w:tcBorders>
            <w:shd w:val="clear" w:color="auto" w:fill="auto"/>
            <w:noWrap/>
            <w:vAlign w:val="bottom"/>
            <w:hideMark/>
          </w:tcPr>
          <w:p w14:paraId="391B4202"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w:t>
            </w:r>
          </w:p>
        </w:tc>
        <w:tc>
          <w:tcPr>
            <w:tcW w:w="271" w:type="dxa"/>
            <w:tcBorders>
              <w:top w:val="nil"/>
              <w:left w:val="nil"/>
              <w:bottom w:val="nil"/>
              <w:right w:val="nil"/>
            </w:tcBorders>
            <w:shd w:val="clear" w:color="auto" w:fill="auto"/>
            <w:noWrap/>
            <w:vAlign w:val="bottom"/>
            <w:hideMark/>
          </w:tcPr>
          <w:p w14:paraId="65C01493"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14E2410B"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Uses variety of communication tools</w:t>
            </w:r>
          </w:p>
        </w:tc>
      </w:tr>
      <w:tr w:rsidR="001764CC" w:rsidRPr="003E016F" w14:paraId="26C3067D" w14:textId="77777777" w:rsidTr="00802B5B">
        <w:trPr>
          <w:trHeight w:val="315"/>
        </w:trPr>
        <w:tc>
          <w:tcPr>
            <w:tcW w:w="997" w:type="dxa"/>
            <w:tcBorders>
              <w:top w:val="nil"/>
              <w:left w:val="nil"/>
              <w:bottom w:val="nil"/>
              <w:right w:val="nil"/>
            </w:tcBorders>
            <w:shd w:val="clear" w:color="auto" w:fill="auto"/>
            <w:noWrap/>
            <w:vAlign w:val="bottom"/>
            <w:hideMark/>
          </w:tcPr>
          <w:p w14:paraId="003005FE"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4D62A109"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1.2d</w:t>
            </w:r>
          </w:p>
        </w:tc>
        <w:tc>
          <w:tcPr>
            <w:tcW w:w="606" w:type="dxa"/>
            <w:tcBorders>
              <w:top w:val="nil"/>
              <w:left w:val="nil"/>
              <w:bottom w:val="nil"/>
              <w:right w:val="nil"/>
            </w:tcBorders>
            <w:shd w:val="clear" w:color="auto" w:fill="auto"/>
            <w:noWrap/>
            <w:vAlign w:val="bottom"/>
            <w:hideMark/>
          </w:tcPr>
          <w:p w14:paraId="5BC8C636"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14%</w:t>
            </w:r>
          </w:p>
        </w:tc>
        <w:tc>
          <w:tcPr>
            <w:tcW w:w="606" w:type="dxa"/>
            <w:tcBorders>
              <w:top w:val="nil"/>
              <w:left w:val="nil"/>
              <w:bottom w:val="nil"/>
              <w:right w:val="nil"/>
            </w:tcBorders>
            <w:shd w:val="clear" w:color="auto" w:fill="auto"/>
            <w:noWrap/>
            <w:vAlign w:val="bottom"/>
            <w:hideMark/>
          </w:tcPr>
          <w:p w14:paraId="4068FC14"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62%</w:t>
            </w:r>
          </w:p>
        </w:tc>
        <w:tc>
          <w:tcPr>
            <w:tcW w:w="606" w:type="dxa"/>
            <w:tcBorders>
              <w:top w:val="nil"/>
              <w:left w:val="nil"/>
              <w:bottom w:val="nil"/>
              <w:right w:val="nil"/>
            </w:tcBorders>
            <w:shd w:val="clear" w:color="auto" w:fill="auto"/>
            <w:noWrap/>
            <w:vAlign w:val="bottom"/>
            <w:hideMark/>
          </w:tcPr>
          <w:p w14:paraId="169B6BC7"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24%</w:t>
            </w:r>
          </w:p>
        </w:tc>
        <w:tc>
          <w:tcPr>
            <w:tcW w:w="271" w:type="dxa"/>
            <w:tcBorders>
              <w:top w:val="nil"/>
              <w:left w:val="nil"/>
              <w:bottom w:val="nil"/>
              <w:right w:val="nil"/>
            </w:tcBorders>
            <w:shd w:val="clear" w:color="auto" w:fill="auto"/>
            <w:noWrap/>
            <w:vAlign w:val="bottom"/>
            <w:hideMark/>
          </w:tcPr>
          <w:p w14:paraId="638262F8"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1C1BAE58"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2.2d</w:t>
            </w:r>
          </w:p>
        </w:tc>
        <w:tc>
          <w:tcPr>
            <w:tcW w:w="606" w:type="dxa"/>
            <w:tcBorders>
              <w:top w:val="nil"/>
              <w:left w:val="nil"/>
              <w:bottom w:val="nil"/>
              <w:right w:val="nil"/>
            </w:tcBorders>
            <w:shd w:val="clear" w:color="auto" w:fill="auto"/>
            <w:noWrap/>
            <w:vAlign w:val="bottom"/>
            <w:hideMark/>
          </w:tcPr>
          <w:p w14:paraId="6CFC2F2C"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39%</w:t>
            </w:r>
          </w:p>
        </w:tc>
        <w:tc>
          <w:tcPr>
            <w:tcW w:w="606" w:type="dxa"/>
            <w:tcBorders>
              <w:top w:val="nil"/>
              <w:left w:val="nil"/>
              <w:bottom w:val="nil"/>
              <w:right w:val="nil"/>
            </w:tcBorders>
            <w:shd w:val="clear" w:color="auto" w:fill="auto"/>
            <w:noWrap/>
            <w:vAlign w:val="bottom"/>
            <w:hideMark/>
          </w:tcPr>
          <w:p w14:paraId="21AA9695"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58%</w:t>
            </w:r>
          </w:p>
        </w:tc>
        <w:tc>
          <w:tcPr>
            <w:tcW w:w="509" w:type="dxa"/>
            <w:tcBorders>
              <w:top w:val="nil"/>
              <w:left w:val="nil"/>
              <w:bottom w:val="nil"/>
              <w:right w:val="nil"/>
            </w:tcBorders>
            <w:shd w:val="clear" w:color="auto" w:fill="auto"/>
            <w:noWrap/>
            <w:vAlign w:val="bottom"/>
            <w:hideMark/>
          </w:tcPr>
          <w:p w14:paraId="285FA5AD"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w:t>
            </w:r>
          </w:p>
        </w:tc>
        <w:tc>
          <w:tcPr>
            <w:tcW w:w="271" w:type="dxa"/>
            <w:tcBorders>
              <w:top w:val="nil"/>
              <w:left w:val="nil"/>
              <w:bottom w:val="nil"/>
              <w:right w:val="nil"/>
            </w:tcBorders>
            <w:shd w:val="clear" w:color="auto" w:fill="auto"/>
            <w:noWrap/>
            <w:vAlign w:val="bottom"/>
            <w:hideMark/>
          </w:tcPr>
          <w:p w14:paraId="7863A5A0"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21D5EBC7"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Knowledge/use of conflict resolution</w:t>
            </w:r>
          </w:p>
        </w:tc>
      </w:tr>
      <w:tr w:rsidR="001764CC" w:rsidRPr="003E016F" w14:paraId="67311372" w14:textId="77777777" w:rsidTr="00802B5B">
        <w:trPr>
          <w:trHeight w:val="315"/>
        </w:trPr>
        <w:tc>
          <w:tcPr>
            <w:tcW w:w="997" w:type="dxa"/>
            <w:tcBorders>
              <w:top w:val="nil"/>
              <w:left w:val="nil"/>
              <w:bottom w:val="nil"/>
              <w:right w:val="nil"/>
            </w:tcBorders>
            <w:shd w:val="clear" w:color="auto" w:fill="auto"/>
            <w:noWrap/>
            <w:vAlign w:val="bottom"/>
            <w:hideMark/>
          </w:tcPr>
          <w:p w14:paraId="22DCB10B"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Average</w:t>
            </w:r>
          </w:p>
        </w:tc>
        <w:tc>
          <w:tcPr>
            <w:tcW w:w="531" w:type="dxa"/>
            <w:tcBorders>
              <w:top w:val="nil"/>
              <w:left w:val="nil"/>
              <w:bottom w:val="nil"/>
              <w:right w:val="nil"/>
            </w:tcBorders>
            <w:shd w:val="clear" w:color="auto" w:fill="auto"/>
            <w:noWrap/>
            <w:vAlign w:val="bottom"/>
            <w:hideMark/>
          </w:tcPr>
          <w:p w14:paraId="0780BF5A"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1.3</w:t>
            </w:r>
          </w:p>
        </w:tc>
        <w:tc>
          <w:tcPr>
            <w:tcW w:w="606" w:type="dxa"/>
            <w:tcBorders>
              <w:top w:val="nil"/>
              <w:left w:val="nil"/>
              <w:bottom w:val="nil"/>
              <w:right w:val="nil"/>
            </w:tcBorders>
            <w:shd w:val="clear" w:color="auto" w:fill="auto"/>
            <w:noWrap/>
            <w:vAlign w:val="bottom"/>
            <w:hideMark/>
          </w:tcPr>
          <w:p w14:paraId="713996B1"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25%</w:t>
            </w:r>
          </w:p>
        </w:tc>
        <w:tc>
          <w:tcPr>
            <w:tcW w:w="606" w:type="dxa"/>
            <w:tcBorders>
              <w:top w:val="nil"/>
              <w:left w:val="nil"/>
              <w:bottom w:val="nil"/>
              <w:right w:val="nil"/>
            </w:tcBorders>
            <w:shd w:val="clear" w:color="auto" w:fill="auto"/>
            <w:noWrap/>
            <w:vAlign w:val="bottom"/>
            <w:hideMark/>
          </w:tcPr>
          <w:p w14:paraId="4956EA94"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57%</w:t>
            </w:r>
          </w:p>
        </w:tc>
        <w:tc>
          <w:tcPr>
            <w:tcW w:w="606" w:type="dxa"/>
            <w:tcBorders>
              <w:top w:val="nil"/>
              <w:left w:val="nil"/>
              <w:bottom w:val="nil"/>
              <w:right w:val="nil"/>
            </w:tcBorders>
            <w:shd w:val="clear" w:color="auto" w:fill="auto"/>
            <w:noWrap/>
            <w:vAlign w:val="bottom"/>
            <w:hideMark/>
          </w:tcPr>
          <w:p w14:paraId="2672075C"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18%</w:t>
            </w:r>
          </w:p>
        </w:tc>
        <w:tc>
          <w:tcPr>
            <w:tcW w:w="271" w:type="dxa"/>
            <w:tcBorders>
              <w:top w:val="nil"/>
              <w:left w:val="nil"/>
              <w:bottom w:val="nil"/>
              <w:right w:val="nil"/>
            </w:tcBorders>
            <w:shd w:val="clear" w:color="auto" w:fill="auto"/>
            <w:noWrap/>
            <w:vAlign w:val="bottom"/>
            <w:hideMark/>
          </w:tcPr>
          <w:p w14:paraId="7F9114DB" w14:textId="77777777" w:rsidR="001764CC" w:rsidRPr="003E016F" w:rsidRDefault="001764CC" w:rsidP="001764CC">
            <w:pPr>
              <w:spacing w:before="0" w:after="0" w:line="240" w:lineRule="auto"/>
              <w:rPr>
                <w:rFonts w:eastAsia="Times New Roman"/>
                <w:b/>
                <w:bCs/>
                <w:sz w:val="18"/>
                <w:szCs w:val="18"/>
              </w:rPr>
            </w:pPr>
          </w:p>
        </w:tc>
        <w:tc>
          <w:tcPr>
            <w:tcW w:w="557" w:type="dxa"/>
            <w:tcBorders>
              <w:top w:val="nil"/>
              <w:left w:val="nil"/>
              <w:bottom w:val="nil"/>
              <w:right w:val="nil"/>
            </w:tcBorders>
            <w:shd w:val="clear" w:color="auto" w:fill="auto"/>
            <w:noWrap/>
            <w:vAlign w:val="bottom"/>
            <w:hideMark/>
          </w:tcPr>
          <w:p w14:paraId="7BDA1DDA"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2.3</w:t>
            </w:r>
          </w:p>
        </w:tc>
        <w:tc>
          <w:tcPr>
            <w:tcW w:w="606" w:type="dxa"/>
            <w:tcBorders>
              <w:top w:val="nil"/>
              <w:left w:val="nil"/>
              <w:bottom w:val="nil"/>
              <w:right w:val="nil"/>
            </w:tcBorders>
            <w:shd w:val="clear" w:color="auto" w:fill="auto"/>
            <w:noWrap/>
            <w:vAlign w:val="bottom"/>
            <w:hideMark/>
          </w:tcPr>
          <w:p w14:paraId="79B81D9E"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42%</w:t>
            </w:r>
          </w:p>
        </w:tc>
        <w:tc>
          <w:tcPr>
            <w:tcW w:w="606" w:type="dxa"/>
            <w:tcBorders>
              <w:top w:val="nil"/>
              <w:left w:val="nil"/>
              <w:bottom w:val="nil"/>
              <w:right w:val="nil"/>
            </w:tcBorders>
            <w:shd w:val="clear" w:color="auto" w:fill="auto"/>
            <w:noWrap/>
            <w:vAlign w:val="bottom"/>
            <w:hideMark/>
          </w:tcPr>
          <w:p w14:paraId="2755261E"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56%</w:t>
            </w:r>
          </w:p>
        </w:tc>
        <w:tc>
          <w:tcPr>
            <w:tcW w:w="509" w:type="dxa"/>
            <w:tcBorders>
              <w:top w:val="nil"/>
              <w:left w:val="nil"/>
              <w:bottom w:val="nil"/>
              <w:right w:val="nil"/>
            </w:tcBorders>
            <w:shd w:val="clear" w:color="auto" w:fill="auto"/>
            <w:noWrap/>
            <w:vAlign w:val="bottom"/>
            <w:hideMark/>
          </w:tcPr>
          <w:p w14:paraId="08A42026"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2%</w:t>
            </w:r>
          </w:p>
        </w:tc>
        <w:tc>
          <w:tcPr>
            <w:tcW w:w="271" w:type="dxa"/>
            <w:tcBorders>
              <w:top w:val="nil"/>
              <w:left w:val="nil"/>
              <w:bottom w:val="nil"/>
              <w:right w:val="nil"/>
            </w:tcBorders>
            <w:shd w:val="clear" w:color="auto" w:fill="auto"/>
            <w:noWrap/>
            <w:vAlign w:val="bottom"/>
            <w:hideMark/>
          </w:tcPr>
          <w:p w14:paraId="1B71FDB7" w14:textId="77777777" w:rsidR="001764CC" w:rsidRPr="003E016F" w:rsidRDefault="001764CC" w:rsidP="001764CC">
            <w:pPr>
              <w:spacing w:before="0" w:after="0" w:line="240" w:lineRule="auto"/>
              <w:rPr>
                <w:rFonts w:eastAsia="Times New Roman"/>
                <w:b/>
                <w:bCs/>
                <w:sz w:val="20"/>
                <w:szCs w:val="20"/>
              </w:rPr>
            </w:pPr>
          </w:p>
        </w:tc>
        <w:tc>
          <w:tcPr>
            <w:tcW w:w="4037" w:type="dxa"/>
            <w:tcBorders>
              <w:top w:val="nil"/>
              <w:left w:val="nil"/>
              <w:bottom w:val="nil"/>
              <w:right w:val="nil"/>
            </w:tcBorders>
            <w:shd w:val="clear" w:color="auto" w:fill="auto"/>
            <w:noWrap/>
            <w:vAlign w:val="center"/>
            <w:hideMark/>
          </w:tcPr>
          <w:p w14:paraId="7F1F19E3" w14:textId="77777777" w:rsidR="001764CC" w:rsidRPr="003E016F" w:rsidRDefault="001764CC" w:rsidP="001764CC">
            <w:pPr>
              <w:spacing w:before="0" w:after="0" w:line="240" w:lineRule="auto"/>
              <w:rPr>
                <w:rFonts w:eastAsia="Times New Roman"/>
                <w:b/>
                <w:bCs/>
                <w:color w:val="000000"/>
                <w:sz w:val="20"/>
                <w:szCs w:val="20"/>
              </w:rPr>
            </w:pPr>
            <w:r w:rsidRPr="003E016F">
              <w:rPr>
                <w:rFonts w:eastAsia="Times New Roman"/>
                <w:b/>
                <w:bCs/>
                <w:color w:val="000000"/>
                <w:sz w:val="20"/>
                <w:szCs w:val="20"/>
              </w:rPr>
              <w:t>Citizenship</w:t>
            </w:r>
          </w:p>
        </w:tc>
      </w:tr>
      <w:tr w:rsidR="001764CC" w:rsidRPr="003E016F" w14:paraId="53885EAC" w14:textId="77777777" w:rsidTr="00802B5B">
        <w:trPr>
          <w:trHeight w:val="315"/>
        </w:trPr>
        <w:tc>
          <w:tcPr>
            <w:tcW w:w="997" w:type="dxa"/>
            <w:tcBorders>
              <w:top w:val="nil"/>
              <w:left w:val="nil"/>
              <w:bottom w:val="nil"/>
              <w:right w:val="nil"/>
            </w:tcBorders>
            <w:shd w:val="clear" w:color="auto" w:fill="auto"/>
            <w:noWrap/>
            <w:vAlign w:val="bottom"/>
            <w:hideMark/>
          </w:tcPr>
          <w:p w14:paraId="60C3F186"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58159E36"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1.3a</w:t>
            </w:r>
          </w:p>
        </w:tc>
        <w:tc>
          <w:tcPr>
            <w:tcW w:w="606" w:type="dxa"/>
            <w:tcBorders>
              <w:top w:val="nil"/>
              <w:left w:val="nil"/>
              <w:bottom w:val="nil"/>
              <w:right w:val="nil"/>
            </w:tcBorders>
            <w:shd w:val="clear" w:color="auto" w:fill="auto"/>
            <w:noWrap/>
            <w:vAlign w:val="bottom"/>
            <w:hideMark/>
          </w:tcPr>
          <w:p w14:paraId="5063531C"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43%</w:t>
            </w:r>
          </w:p>
        </w:tc>
        <w:tc>
          <w:tcPr>
            <w:tcW w:w="606" w:type="dxa"/>
            <w:tcBorders>
              <w:top w:val="nil"/>
              <w:left w:val="nil"/>
              <w:bottom w:val="nil"/>
              <w:right w:val="nil"/>
            </w:tcBorders>
            <w:shd w:val="clear" w:color="auto" w:fill="auto"/>
            <w:noWrap/>
            <w:vAlign w:val="bottom"/>
            <w:hideMark/>
          </w:tcPr>
          <w:p w14:paraId="0D783CAE"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49%</w:t>
            </w:r>
          </w:p>
        </w:tc>
        <w:tc>
          <w:tcPr>
            <w:tcW w:w="606" w:type="dxa"/>
            <w:tcBorders>
              <w:top w:val="nil"/>
              <w:left w:val="nil"/>
              <w:bottom w:val="nil"/>
              <w:right w:val="nil"/>
            </w:tcBorders>
            <w:shd w:val="clear" w:color="auto" w:fill="auto"/>
            <w:noWrap/>
            <w:vAlign w:val="bottom"/>
            <w:hideMark/>
          </w:tcPr>
          <w:p w14:paraId="58BC9B14"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8%</w:t>
            </w:r>
          </w:p>
        </w:tc>
        <w:tc>
          <w:tcPr>
            <w:tcW w:w="271" w:type="dxa"/>
            <w:tcBorders>
              <w:top w:val="nil"/>
              <w:left w:val="nil"/>
              <w:bottom w:val="nil"/>
              <w:right w:val="nil"/>
            </w:tcBorders>
            <w:shd w:val="clear" w:color="auto" w:fill="auto"/>
            <w:noWrap/>
            <w:vAlign w:val="bottom"/>
            <w:hideMark/>
          </w:tcPr>
          <w:p w14:paraId="56962D20"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5A4DFCD0"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2.3a</w:t>
            </w:r>
          </w:p>
        </w:tc>
        <w:tc>
          <w:tcPr>
            <w:tcW w:w="606" w:type="dxa"/>
            <w:tcBorders>
              <w:top w:val="nil"/>
              <w:left w:val="nil"/>
              <w:bottom w:val="nil"/>
              <w:right w:val="nil"/>
            </w:tcBorders>
            <w:shd w:val="clear" w:color="auto" w:fill="auto"/>
            <w:noWrap/>
            <w:vAlign w:val="bottom"/>
            <w:hideMark/>
          </w:tcPr>
          <w:p w14:paraId="7CE8AFBE"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61%</w:t>
            </w:r>
          </w:p>
        </w:tc>
        <w:tc>
          <w:tcPr>
            <w:tcW w:w="606" w:type="dxa"/>
            <w:tcBorders>
              <w:top w:val="nil"/>
              <w:left w:val="nil"/>
              <w:bottom w:val="nil"/>
              <w:right w:val="nil"/>
            </w:tcBorders>
            <w:shd w:val="clear" w:color="auto" w:fill="auto"/>
            <w:noWrap/>
            <w:vAlign w:val="bottom"/>
            <w:hideMark/>
          </w:tcPr>
          <w:p w14:paraId="05AB19B7"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39%</w:t>
            </w:r>
          </w:p>
        </w:tc>
        <w:tc>
          <w:tcPr>
            <w:tcW w:w="509" w:type="dxa"/>
            <w:tcBorders>
              <w:top w:val="nil"/>
              <w:left w:val="nil"/>
              <w:bottom w:val="nil"/>
              <w:right w:val="nil"/>
            </w:tcBorders>
            <w:shd w:val="clear" w:color="auto" w:fill="auto"/>
            <w:noWrap/>
            <w:vAlign w:val="bottom"/>
            <w:hideMark/>
          </w:tcPr>
          <w:p w14:paraId="1006478B"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0%</w:t>
            </w:r>
          </w:p>
        </w:tc>
        <w:tc>
          <w:tcPr>
            <w:tcW w:w="271" w:type="dxa"/>
            <w:tcBorders>
              <w:top w:val="nil"/>
              <w:left w:val="nil"/>
              <w:bottom w:val="nil"/>
              <w:right w:val="nil"/>
            </w:tcBorders>
            <w:shd w:val="clear" w:color="auto" w:fill="auto"/>
            <w:noWrap/>
            <w:vAlign w:val="bottom"/>
            <w:hideMark/>
          </w:tcPr>
          <w:p w14:paraId="5BF34C9A"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1FCE9720"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Professionalism with peers, students, etc.</w:t>
            </w:r>
          </w:p>
        </w:tc>
      </w:tr>
      <w:tr w:rsidR="001764CC" w:rsidRPr="003E016F" w14:paraId="07A72BFF" w14:textId="77777777" w:rsidTr="00802B5B">
        <w:trPr>
          <w:trHeight w:val="315"/>
        </w:trPr>
        <w:tc>
          <w:tcPr>
            <w:tcW w:w="997" w:type="dxa"/>
            <w:tcBorders>
              <w:top w:val="nil"/>
              <w:left w:val="nil"/>
              <w:bottom w:val="nil"/>
              <w:right w:val="nil"/>
            </w:tcBorders>
            <w:shd w:val="clear" w:color="auto" w:fill="auto"/>
            <w:noWrap/>
            <w:vAlign w:val="bottom"/>
            <w:hideMark/>
          </w:tcPr>
          <w:p w14:paraId="31A4C13B"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1895B89F"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1.3b</w:t>
            </w:r>
          </w:p>
        </w:tc>
        <w:tc>
          <w:tcPr>
            <w:tcW w:w="606" w:type="dxa"/>
            <w:tcBorders>
              <w:top w:val="nil"/>
              <w:left w:val="nil"/>
              <w:bottom w:val="nil"/>
              <w:right w:val="nil"/>
            </w:tcBorders>
            <w:shd w:val="clear" w:color="auto" w:fill="auto"/>
            <w:noWrap/>
            <w:vAlign w:val="bottom"/>
            <w:hideMark/>
          </w:tcPr>
          <w:p w14:paraId="42D86A7A"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19%</w:t>
            </w:r>
          </w:p>
        </w:tc>
        <w:tc>
          <w:tcPr>
            <w:tcW w:w="606" w:type="dxa"/>
            <w:tcBorders>
              <w:top w:val="nil"/>
              <w:left w:val="nil"/>
              <w:bottom w:val="nil"/>
              <w:right w:val="nil"/>
            </w:tcBorders>
            <w:shd w:val="clear" w:color="auto" w:fill="auto"/>
            <w:noWrap/>
            <w:vAlign w:val="bottom"/>
            <w:hideMark/>
          </w:tcPr>
          <w:p w14:paraId="0379A570"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56%</w:t>
            </w:r>
          </w:p>
        </w:tc>
        <w:tc>
          <w:tcPr>
            <w:tcW w:w="606" w:type="dxa"/>
            <w:tcBorders>
              <w:top w:val="nil"/>
              <w:left w:val="nil"/>
              <w:bottom w:val="nil"/>
              <w:right w:val="nil"/>
            </w:tcBorders>
            <w:shd w:val="clear" w:color="auto" w:fill="auto"/>
            <w:noWrap/>
            <w:vAlign w:val="bottom"/>
            <w:hideMark/>
          </w:tcPr>
          <w:p w14:paraId="6CCC685E"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25%</w:t>
            </w:r>
          </w:p>
        </w:tc>
        <w:tc>
          <w:tcPr>
            <w:tcW w:w="271" w:type="dxa"/>
            <w:tcBorders>
              <w:top w:val="nil"/>
              <w:left w:val="nil"/>
              <w:bottom w:val="nil"/>
              <w:right w:val="nil"/>
            </w:tcBorders>
            <w:shd w:val="clear" w:color="auto" w:fill="auto"/>
            <w:noWrap/>
            <w:vAlign w:val="bottom"/>
            <w:hideMark/>
          </w:tcPr>
          <w:p w14:paraId="78CCBE34"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61A9CBFF"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2.3b</w:t>
            </w:r>
          </w:p>
        </w:tc>
        <w:tc>
          <w:tcPr>
            <w:tcW w:w="606" w:type="dxa"/>
            <w:tcBorders>
              <w:top w:val="nil"/>
              <w:left w:val="nil"/>
              <w:bottom w:val="nil"/>
              <w:right w:val="nil"/>
            </w:tcBorders>
            <w:shd w:val="clear" w:color="auto" w:fill="auto"/>
            <w:noWrap/>
            <w:vAlign w:val="bottom"/>
            <w:hideMark/>
          </w:tcPr>
          <w:p w14:paraId="4A03E042"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37%</w:t>
            </w:r>
          </w:p>
        </w:tc>
        <w:tc>
          <w:tcPr>
            <w:tcW w:w="606" w:type="dxa"/>
            <w:tcBorders>
              <w:top w:val="nil"/>
              <w:left w:val="nil"/>
              <w:bottom w:val="nil"/>
              <w:right w:val="nil"/>
            </w:tcBorders>
            <w:shd w:val="clear" w:color="auto" w:fill="auto"/>
            <w:noWrap/>
            <w:vAlign w:val="bottom"/>
            <w:hideMark/>
          </w:tcPr>
          <w:p w14:paraId="11BF3007"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60%</w:t>
            </w:r>
          </w:p>
        </w:tc>
        <w:tc>
          <w:tcPr>
            <w:tcW w:w="509" w:type="dxa"/>
            <w:tcBorders>
              <w:top w:val="nil"/>
              <w:left w:val="nil"/>
              <w:bottom w:val="nil"/>
              <w:right w:val="nil"/>
            </w:tcBorders>
            <w:shd w:val="clear" w:color="auto" w:fill="auto"/>
            <w:noWrap/>
            <w:vAlign w:val="bottom"/>
            <w:hideMark/>
          </w:tcPr>
          <w:p w14:paraId="6EA22D2B"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w:t>
            </w:r>
          </w:p>
        </w:tc>
        <w:tc>
          <w:tcPr>
            <w:tcW w:w="271" w:type="dxa"/>
            <w:tcBorders>
              <w:top w:val="nil"/>
              <w:left w:val="nil"/>
              <w:bottom w:val="nil"/>
              <w:right w:val="nil"/>
            </w:tcBorders>
            <w:shd w:val="clear" w:color="auto" w:fill="auto"/>
            <w:noWrap/>
            <w:vAlign w:val="bottom"/>
            <w:hideMark/>
          </w:tcPr>
          <w:p w14:paraId="5EABC667"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7EE739F3"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Involvement in community</w:t>
            </w:r>
          </w:p>
        </w:tc>
      </w:tr>
      <w:tr w:rsidR="001764CC" w:rsidRPr="003E016F" w14:paraId="58C2280D" w14:textId="77777777" w:rsidTr="00802B5B">
        <w:trPr>
          <w:trHeight w:val="315"/>
        </w:trPr>
        <w:tc>
          <w:tcPr>
            <w:tcW w:w="997" w:type="dxa"/>
            <w:tcBorders>
              <w:top w:val="nil"/>
              <w:left w:val="nil"/>
              <w:bottom w:val="nil"/>
              <w:right w:val="nil"/>
            </w:tcBorders>
            <w:shd w:val="clear" w:color="auto" w:fill="auto"/>
            <w:noWrap/>
            <w:vAlign w:val="bottom"/>
            <w:hideMark/>
          </w:tcPr>
          <w:p w14:paraId="334F8DE9"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0E03E6EF"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1.3c</w:t>
            </w:r>
          </w:p>
        </w:tc>
        <w:tc>
          <w:tcPr>
            <w:tcW w:w="606" w:type="dxa"/>
            <w:tcBorders>
              <w:top w:val="nil"/>
              <w:left w:val="nil"/>
              <w:bottom w:val="nil"/>
              <w:right w:val="nil"/>
            </w:tcBorders>
            <w:shd w:val="clear" w:color="auto" w:fill="auto"/>
            <w:noWrap/>
            <w:vAlign w:val="bottom"/>
            <w:hideMark/>
          </w:tcPr>
          <w:p w14:paraId="46BF16A5"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18%</w:t>
            </w:r>
          </w:p>
        </w:tc>
        <w:tc>
          <w:tcPr>
            <w:tcW w:w="606" w:type="dxa"/>
            <w:tcBorders>
              <w:top w:val="nil"/>
              <w:left w:val="nil"/>
              <w:bottom w:val="nil"/>
              <w:right w:val="nil"/>
            </w:tcBorders>
            <w:shd w:val="clear" w:color="auto" w:fill="auto"/>
            <w:noWrap/>
            <w:vAlign w:val="bottom"/>
            <w:hideMark/>
          </w:tcPr>
          <w:p w14:paraId="2BD49E25"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64%</w:t>
            </w:r>
          </w:p>
        </w:tc>
        <w:tc>
          <w:tcPr>
            <w:tcW w:w="606" w:type="dxa"/>
            <w:tcBorders>
              <w:top w:val="nil"/>
              <w:left w:val="nil"/>
              <w:bottom w:val="nil"/>
              <w:right w:val="nil"/>
            </w:tcBorders>
            <w:shd w:val="clear" w:color="auto" w:fill="auto"/>
            <w:noWrap/>
            <w:vAlign w:val="bottom"/>
            <w:hideMark/>
          </w:tcPr>
          <w:p w14:paraId="16C3C1FE"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18%</w:t>
            </w:r>
          </w:p>
        </w:tc>
        <w:tc>
          <w:tcPr>
            <w:tcW w:w="271" w:type="dxa"/>
            <w:tcBorders>
              <w:top w:val="nil"/>
              <w:left w:val="nil"/>
              <w:bottom w:val="nil"/>
              <w:right w:val="nil"/>
            </w:tcBorders>
            <w:shd w:val="clear" w:color="auto" w:fill="auto"/>
            <w:noWrap/>
            <w:vAlign w:val="bottom"/>
            <w:hideMark/>
          </w:tcPr>
          <w:p w14:paraId="6EF5EADD"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6B4005F6"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2.3c</w:t>
            </w:r>
          </w:p>
        </w:tc>
        <w:tc>
          <w:tcPr>
            <w:tcW w:w="606" w:type="dxa"/>
            <w:tcBorders>
              <w:top w:val="nil"/>
              <w:left w:val="nil"/>
              <w:bottom w:val="nil"/>
              <w:right w:val="nil"/>
            </w:tcBorders>
            <w:shd w:val="clear" w:color="auto" w:fill="auto"/>
            <w:noWrap/>
            <w:vAlign w:val="bottom"/>
            <w:hideMark/>
          </w:tcPr>
          <w:p w14:paraId="12319AF1"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29%</w:t>
            </w:r>
          </w:p>
        </w:tc>
        <w:tc>
          <w:tcPr>
            <w:tcW w:w="606" w:type="dxa"/>
            <w:tcBorders>
              <w:top w:val="nil"/>
              <w:left w:val="nil"/>
              <w:bottom w:val="nil"/>
              <w:right w:val="nil"/>
            </w:tcBorders>
            <w:shd w:val="clear" w:color="auto" w:fill="auto"/>
            <w:noWrap/>
            <w:vAlign w:val="bottom"/>
            <w:hideMark/>
          </w:tcPr>
          <w:p w14:paraId="1411CAAC"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68%</w:t>
            </w:r>
          </w:p>
        </w:tc>
        <w:tc>
          <w:tcPr>
            <w:tcW w:w="509" w:type="dxa"/>
            <w:tcBorders>
              <w:top w:val="nil"/>
              <w:left w:val="nil"/>
              <w:bottom w:val="nil"/>
              <w:right w:val="nil"/>
            </w:tcBorders>
            <w:shd w:val="clear" w:color="auto" w:fill="auto"/>
            <w:noWrap/>
            <w:vAlign w:val="bottom"/>
            <w:hideMark/>
          </w:tcPr>
          <w:p w14:paraId="0998E807"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w:t>
            </w:r>
          </w:p>
        </w:tc>
        <w:tc>
          <w:tcPr>
            <w:tcW w:w="271" w:type="dxa"/>
            <w:tcBorders>
              <w:top w:val="nil"/>
              <w:left w:val="nil"/>
              <w:bottom w:val="nil"/>
              <w:right w:val="nil"/>
            </w:tcBorders>
            <w:shd w:val="clear" w:color="auto" w:fill="auto"/>
            <w:noWrap/>
            <w:vAlign w:val="bottom"/>
            <w:hideMark/>
          </w:tcPr>
          <w:p w14:paraId="4A0A0938"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7E10776A"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Participates with SKC learning community</w:t>
            </w:r>
          </w:p>
        </w:tc>
      </w:tr>
      <w:tr w:rsidR="001764CC" w:rsidRPr="003E016F" w14:paraId="4EB7F336" w14:textId="77777777" w:rsidTr="00802B5B">
        <w:trPr>
          <w:trHeight w:val="315"/>
        </w:trPr>
        <w:tc>
          <w:tcPr>
            <w:tcW w:w="997" w:type="dxa"/>
            <w:tcBorders>
              <w:top w:val="nil"/>
              <w:left w:val="nil"/>
              <w:bottom w:val="nil"/>
              <w:right w:val="nil"/>
            </w:tcBorders>
            <w:shd w:val="clear" w:color="auto" w:fill="auto"/>
            <w:noWrap/>
            <w:vAlign w:val="bottom"/>
            <w:hideMark/>
          </w:tcPr>
          <w:p w14:paraId="2B874F05"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00EF338F"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1.3d</w:t>
            </w:r>
          </w:p>
        </w:tc>
        <w:tc>
          <w:tcPr>
            <w:tcW w:w="606" w:type="dxa"/>
            <w:tcBorders>
              <w:top w:val="nil"/>
              <w:left w:val="nil"/>
              <w:bottom w:val="nil"/>
              <w:right w:val="nil"/>
            </w:tcBorders>
            <w:shd w:val="clear" w:color="auto" w:fill="auto"/>
            <w:noWrap/>
            <w:vAlign w:val="bottom"/>
            <w:hideMark/>
          </w:tcPr>
          <w:p w14:paraId="7399A606"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19%</w:t>
            </w:r>
          </w:p>
        </w:tc>
        <w:tc>
          <w:tcPr>
            <w:tcW w:w="606" w:type="dxa"/>
            <w:tcBorders>
              <w:top w:val="nil"/>
              <w:left w:val="nil"/>
              <w:bottom w:val="nil"/>
              <w:right w:val="nil"/>
            </w:tcBorders>
            <w:shd w:val="clear" w:color="auto" w:fill="auto"/>
            <w:noWrap/>
            <w:vAlign w:val="bottom"/>
            <w:hideMark/>
          </w:tcPr>
          <w:p w14:paraId="68833368"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61%</w:t>
            </w:r>
          </w:p>
        </w:tc>
        <w:tc>
          <w:tcPr>
            <w:tcW w:w="606" w:type="dxa"/>
            <w:tcBorders>
              <w:top w:val="nil"/>
              <w:left w:val="nil"/>
              <w:bottom w:val="nil"/>
              <w:right w:val="nil"/>
            </w:tcBorders>
            <w:shd w:val="clear" w:color="auto" w:fill="auto"/>
            <w:noWrap/>
            <w:vAlign w:val="bottom"/>
            <w:hideMark/>
          </w:tcPr>
          <w:p w14:paraId="0C58127F"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19%</w:t>
            </w:r>
          </w:p>
        </w:tc>
        <w:tc>
          <w:tcPr>
            <w:tcW w:w="271" w:type="dxa"/>
            <w:tcBorders>
              <w:top w:val="nil"/>
              <w:left w:val="nil"/>
              <w:bottom w:val="nil"/>
              <w:right w:val="nil"/>
            </w:tcBorders>
            <w:shd w:val="clear" w:color="auto" w:fill="auto"/>
            <w:noWrap/>
            <w:vAlign w:val="bottom"/>
            <w:hideMark/>
          </w:tcPr>
          <w:p w14:paraId="29CA5353"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51EB720A"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2.3d</w:t>
            </w:r>
          </w:p>
        </w:tc>
        <w:tc>
          <w:tcPr>
            <w:tcW w:w="606" w:type="dxa"/>
            <w:tcBorders>
              <w:top w:val="nil"/>
              <w:left w:val="nil"/>
              <w:bottom w:val="nil"/>
              <w:right w:val="nil"/>
            </w:tcBorders>
            <w:shd w:val="clear" w:color="auto" w:fill="auto"/>
            <w:noWrap/>
            <w:vAlign w:val="bottom"/>
            <w:hideMark/>
          </w:tcPr>
          <w:p w14:paraId="5082D022"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42%</w:t>
            </w:r>
          </w:p>
        </w:tc>
        <w:tc>
          <w:tcPr>
            <w:tcW w:w="606" w:type="dxa"/>
            <w:tcBorders>
              <w:top w:val="nil"/>
              <w:left w:val="nil"/>
              <w:bottom w:val="nil"/>
              <w:right w:val="nil"/>
            </w:tcBorders>
            <w:shd w:val="clear" w:color="auto" w:fill="auto"/>
            <w:noWrap/>
            <w:vAlign w:val="bottom"/>
            <w:hideMark/>
          </w:tcPr>
          <w:p w14:paraId="457794C6"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56%</w:t>
            </w:r>
          </w:p>
        </w:tc>
        <w:tc>
          <w:tcPr>
            <w:tcW w:w="509" w:type="dxa"/>
            <w:tcBorders>
              <w:top w:val="nil"/>
              <w:left w:val="nil"/>
              <w:bottom w:val="nil"/>
              <w:right w:val="nil"/>
            </w:tcBorders>
            <w:shd w:val="clear" w:color="auto" w:fill="auto"/>
            <w:noWrap/>
            <w:vAlign w:val="bottom"/>
            <w:hideMark/>
          </w:tcPr>
          <w:p w14:paraId="17934367"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w:t>
            </w:r>
          </w:p>
        </w:tc>
        <w:tc>
          <w:tcPr>
            <w:tcW w:w="271" w:type="dxa"/>
            <w:tcBorders>
              <w:top w:val="nil"/>
              <w:left w:val="nil"/>
              <w:bottom w:val="nil"/>
              <w:right w:val="nil"/>
            </w:tcBorders>
            <w:shd w:val="clear" w:color="auto" w:fill="auto"/>
            <w:noWrap/>
            <w:vAlign w:val="bottom"/>
            <w:hideMark/>
          </w:tcPr>
          <w:p w14:paraId="078D873C"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5B89C0D8"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Knows/applies content to community</w:t>
            </w:r>
          </w:p>
        </w:tc>
      </w:tr>
      <w:tr w:rsidR="001764CC" w:rsidRPr="003E016F" w14:paraId="61169C22" w14:textId="77777777" w:rsidTr="00802B5B">
        <w:trPr>
          <w:trHeight w:val="315"/>
        </w:trPr>
        <w:tc>
          <w:tcPr>
            <w:tcW w:w="997" w:type="dxa"/>
            <w:tcBorders>
              <w:top w:val="nil"/>
              <w:left w:val="nil"/>
              <w:bottom w:val="nil"/>
              <w:right w:val="nil"/>
            </w:tcBorders>
            <w:shd w:val="clear" w:color="auto" w:fill="auto"/>
            <w:noWrap/>
            <w:vAlign w:val="bottom"/>
            <w:hideMark/>
          </w:tcPr>
          <w:p w14:paraId="01FA492B"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Average</w:t>
            </w:r>
          </w:p>
        </w:tc>
        <w:tc>
          <w:tcPr>
            <w:tcW w:w="531" w:type="dxa"/>
            <w:tcBorders>
              <w:top w:val="nil"/>
              <w:left w:val="nil"/>
              <w:bottom w:val="nil"/>
              <w:right w:val="nil"/>
            </w:tcBorders>
            <w:shd w:val="clear" w:color="auto" w:fill="auto"/>
            <w:noWrap/>
            <w:vAlign w:val="bottom"/>
            <w:hideMark/>
          </w:tcPr>
          <w:p w14:paraId="79D5B555"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1.4</w:t>
            </w:r>
          </w:p>
        </w:tc>
        <w:tc>
          <w:tcPr>
            <w:tcW w:w="606" w:type="dxa"/>
            <w:tcBorders>
              <w:top w:val="nil"/>
              <w:left w:val="nil"/>
              <w:bottom w:val="nil"/>
              <w:right w:val="nil"/>
            </w:tcBorders>
            <w:shd w:val="clear" w:color="auto" w:fill="auto"/>
            <w:noWrap/>
            <w:vAlign w:val="bottom"/>
            <w:hideMark/>
          </w:tcPr>
          <w:p w14:paraId="169A7F5C"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29%</w:t>
            </w:r>
          </w:p>
        </w:tc>
        <w:tc>
          <w:tcPr>
            <w:tcW w:w="606" w:type="dxa"/>
            <w:tcBorders>
              <w:top w:val="nil"/>
              <w:left w:val="nil"/>
              <w:bottom w:val="nil"/>
              <w:right w:val="nil"/>
            </w:tcBorders>
            <w:shd w:val="clear" w:color="auto" w:fill="auto"/>
            <w:noWrap/>
            <w:vAlign w:val="bottom"/>
            <w:hideMark/>
          </w:tcPr>
          <w:p w14:paraId="4014B22E"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51%</w:t>
            </w:r>
          </w:p>
        </w:tc>
        <w:tc>
          <w:tcPr>
            <w:tcW w:w="606" w:type="dxa"/>
            <w:tcBorders>
              <w:top w:val="nil"/>
              <w:left w:val="nil"/>
              <w:bottom w:val="nil"/>
              <w:right w:val="nil"/>
            </w:tcBorders>
            <w:shd w:val="clear" w:color="auto" w:fill="auto"/>
            <w:noWrap/>
            <w:vAlign w:val="bottom"/>
            <w:hideMark/>
          </w:tcPr>
          <w:p w14:paraId="75046CAB"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16%</w:t>
            </w:r>
          </w:p>
        </w:tc>
        <w:tc>
          <w:tcPr>
            <w:tcW w:w="271" w:type="dxa"/>
            <w:tcBorders>
              <w:top w:val="nil"/>
              <w:left w:val="nil"/>
              <w:bottom w:val="nil"/>
              <w:right w:val="nil"/>
            </w:tcBorders>
            <w:shd w:val="clear" w:color="auto" w:fill="auto"/>
            <w:noWrap/>
            <w:vAlign w:val="bottom"/>
            <w:hideMark/>
          </w:tcPr>
          <w:p w14:paraId="45C9D3C8" w14:textId="77777777" w:rsidR="001764CC" w:rsidRPr="003E016F" w:rsidRDefault="001764CC" w:rsidP="001764CC">
            <w:pPr>
              <w:spacing w:before="0" w:after="0" w:line="240" w:lineRule="auto"/>
              <w:rPr>
                <w:rFonts w:eastAsia="Times New Roman"/>
                <w:b/>
                <w:bCs/>
                <w:sz w:val="18"/>
                <w:szCs w:val="18"/>
              </w:rPr>
            </w:pPr>
          </w:p>
        </w:tc>
        <w:tc>
          <w:tcPr>
            <w:tcW w:w="557" w:type="dxa"/>
            <w:tcBorders>
              <w:top w:val="nil"/>
              <w:left w:val="nil"/>
              <w:bottom w:val="nil"/>
              <w:right w:val="nil"/>
            </w:tcBorders>
            <w:shd w:val="clear" w:color="auto" w:fill="auto"/>
            <w:noWrap/>
            <w:vAlign w:val="bottom"/>
            <w:hideMark/>
          </w:tcPr>
          <w:p w14:paraId="6ACE7CA4" w14:textId="77777777" w:rsidR="001764CC" w:rsidRPr="003E016F" w:rsidRDefault="001764CC" w:rsidP="001764CC">
            <w:pPr>
              <w:spacing w:before="0" w:after="0" w:line="240" w:lineRule="auto"/>
              <w:jc w:val="center"/>
              <w:rPr>
                <w:rFonts w:eastAsia="Times New Roman"/>
                <w:b/>
                <w:bCs/>
                <w:sz w:val="18"/>
                <w:szCs w:val="18"/>
              </w:rPr>
            </w:pPr>
            <w:r w:rsidRPr="003E016F">
              <w:rPr>
                <w:rFonts w:eastAsia="Times New Roman"/>
                <w:b/>
                <w:bCs/>
                <w:sz w:val="18"/>
                <w:szCs w:val="18"/>
              </w:rPr>
              <w:t>2.4</w:t>
            </w:r>
          </w:p>
        </w:tc>
        <w:tc>
          <w:tcPr>
            <w:tcW w:w="606" w:type="dxa"/>
            <w:tcBorders>
              <w:top w:val="nil"/>
              <w:left w:val="nil"/>
              <w:bottom w:val="nil"/>
              <w:right w:val="nil"/>
            </w:tcBorders>
            <w:shd w:val="clear" w:color="auto" w:fill="auto"/>
            <w:noWrap/>
            <w:vAlign w:val="bottom"/>
            <w:hideMark/>
          </w:tcPr>
          <w:p w14:paraId="0E908961"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53%</w:t>
            </w:r>
          </w:p>
        </w:tc>
        <w:tc>
          <w:tcPr>
            <w:tcW w:w="606" w:type="dxa"/>
            <w:tcBorders>
              <w:top w:val="nil"/>
              <w:left w:val="nil"/>
              <w:bottom w:val="nil"/>
              <w:right w:val="nil"/>
            </w:tcBorders>
            <w:shd w:val="clear" w:color="auto" w:fill="auto"/>
            <w:noWrap/>
            <w:vAlign w:val="bottom"/>
            <w:hideMark/>
          </w:tcPr>
          <w:p w14:paraId="59F313FF"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47%</w:t>
            </w:r>
          </w:p>
        </w:tc>
        <w:tc>
          <w:tcPr>
            <w:tcW w:w="509" w:type="dxa"/>
            <w:tcBorders>
              <w:top w:val="nil"/>
              <w:left w:val="nil"/>
              <w:bottom w:val="nil"/>
              <w:right w:val="nil"/>
            </w:tcBorders>
            <w:shd w:val="clear" w:color="auto" w:fill="auto"/>
            <w:noWrap/>
            <w:vAlign w:val="bottom"/>
            <w:hideMark/>
          </w:tcPr>
          <w:p w14:paraId="5D52FB98" w14:textId="77777777" w:rsidR="001764CC" w:rsidRPr="003E016F" w:rsidRDefault="001764CC" w:rsidP="001764CC">
            <w:pPr>
              <w:spacing w:before="0" w:after="0" w:line="240" w:lineRule="auto"/>
              <w:jc w:val="right"/>
              <w:rPr>
                <w:rFonts w:eastAsia="Times New Roman"/>
                <w:b/>
                <w:bCs/>
                <w:sz w:val="18"/>
                <w:szCs w:val="18"/>
              </w:rPr>
            </w:pPr>
            <w:r w:rsidRPr="003E016F">
              <w:rPr>
                <w:rFonts w:eastAsia="Times New Roman"/>
                <w:b/>
                <w:bCs/>
                <w:sz w:val="18"/>
                <w:szCs w:val="18"/>
              </w:rPr>
              <w:t>0%</w:t>
            </w:r>
          </w:p>
        </w:tc>
        <w:tc>
          <w:tcPr>
            <w:tcW w:w="271" w:type="dxa"/>
            <w:tcBorders>
              <w:top w:val="nil"/>
              <w:left w:val="nil"/>
              <w:bottom w:val="nil"/>
              <w:right w:val="nil"/>
            </w:tcBorders>
            <w:shd w:val="clear" w:color="auto" w:fill="auto"/>
            <w:noWrap/>
            <w:vAlign w:val="bottom"/>
            <w:hideMark/>
          </w:tcPr>
          <w:p w14:paraId="538AEDE1" w14:textId="77777777" w:rsidR="001764CC" w:rsidRPr="003E016F" w:rsidRDefault="001764CC" w:rsidP="001764CC">
            <w:pPr>
              <w:spacing w:before="0" w:after="0" w:line="240" w:lineRule="auto"/>
              <w:rPr>
                <w:rFonts w:eastAsia="Times New Roman"/>
                <w:b/>
                <w:bCs/>
                <w:sz w:val="20"/>
                <w:szCs w:val="20"/>
              </w:rPr>
            </w:pPr>
          </w:p>
        </w:tc>
        <w:tc>
          <w:tcPr>
            <w:tcW w:w="4037" w:type="dxa"/>
            <w:tcBorders>
              <w:top w:val="nil"/>
              <w:left w:val="nil"/>
              <w:bottom w:val="nil"/>
              <w:right w:val="nil"/>
            </w:tcBorders>
            <w:shd w:val="clear" w:color="auto" w:fill="auto"/>
            <w:noWrap/>
            <w:vAlign w:val="bottom"/>
            <w:hideMark/>
          </w:tcPr>
          <w:p w14:paraId="13D4ADA7" w14:textId="77777777" w:rsidR="001764CC" w:rsidRPr="003E016F" w:rsidRDefault="001764CC" w:rsidP="001764CC">
            <w:pPr>
              <w:spacing w:before="0" w:after="0" w:line="240" w:lineRule="auto"/>
              <w:rPr>
                <w:rFonts w:eastAsia="Times New Roman"/>
                <w:b/>
                <w:bCs/>
                <w:color w:val="000000"/>
                <w:sz w:val="20"/>
                <w:szCs w:val="20"/>
              </w:rPr>
            </w:pPr>
            <w:r w:rsidRPr="003E016F">
              <w:rPr>
                <w:rFonts w:eastAsia="Times New Roman"/>
                <w:b/>
                <w:bCs/>
                <w:color w:val="000000"/>
                <w:sz w:val="20"/>
                <w:szCs w:val="20"/>
              </w:rPr>
              <w:t>Critical Thinking</w:t>
            </w:r>
          </w:p>
        </w:tc>
      </w:tr>
      <w:tr w:rsidR="001764CC" w:rsidRPr="003E016F" w14:paraId="7F3D032D" w14:textId="77777777" w:rsidTr="00802B5B">
        <w:trPr>
          <w:trHeight w:val="315"/>
        </w:trPr>
        <w:tc>
          <w:tcPr>
            <w:tcW w:w="997" w:type="dxa"/>
            <w:tcBorders>
              <w:top w:val="nil"/>
              <w:left w:val="nil"/>
              <w:bottom w:val="nil"/>
              <w:right w:val="nil"/>
            </w:tcBorders>
            <w:shd w:val="clear" w:color="auto" w:fill="auto"/>
            <w:noWrap/>
            <w:vAlign w:val="bottom"/>
            <w:hideMark/>
          </w:tcPr>
          <w:p w14:paraId="3B70B498"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6DCD08CD"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1.4a</w:t>
            </w:r>
          </w:p>
        </w:tc>
        <w:tc>
          <w:tcPr>
            <w:tcW w:w="606" w:type="dxa"/>
            <w:tcBorders>
              <w:top w:val="nil"/>
              <w:left w:val="nil"/>
              <w:bottom w:val="nil"/>
              <w:right w:val="nil"/>
            </w:tcBorders>
            <w:shd w:val="clear" w:color="auto" w:fill="auto"/>
            <w:noWrap/>
            <w:vAlign w:val="bottom"/>
            <w:hideMark/>
          </w:tcPr>
          <w:p w14:paraId="6DD79BA7"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27%</w:t>
            </w:r>
          </w:p>
        </w:tc>
        <w:tc>
          <w:tcPr>
            <w:tcW w:w="606" w:type="dxa"/>
            <w:tcBorders>
              <w:top w:val="nil"/>
              <w:left w:val="nil"/>
              <w:bottom w:val="nil"/>
              <w:right w:val="nil"/>
            </w:tcBorders>
            <w:shd w:val="clear" w:color="auto" w:fill="auto"/>
            <w:noWrap/>
            <w:vAlign w:val="bottom"/>
            <w:hideMark/>
          </w:tcPr>
          <w:p w14:paraId="037B4730"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27%</w:t>
            </w:r>
          </w:p>
        </w:tc>
        <w:tc>
          <w:tcPr>
            <w:tcW w:w="606" w:type="dxa"/>
            <w:tcBorders>
              <w:top w:val="nil"/>
              <w:left w:val="nil"/>
              <w:bottom w:val="nil"/>
              <w:right w:val="nil"/>
            </w:tcBorders>
            <w:shd w:val="clear" w:color="auto" w:fill="auto"/>
            <w:noWrap/>
            <w:vAlign w:val="bottom"/>
            <w:hideMark/>
          </w:tcPr>
          <w:p w14:paraId="2B66B71C"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27%</w:t>
            </w:r>
          </w:p>
        </w:tc>
        <w:tc>
          <w:tcPr>
            <w:tcW w:w="271" w:type="dxa"/>
            <w:tcBorders>
              <w:top w:val="nil"/>
              <w:left w:val="nil"/>
              <w:bottom w:val="nil"/>
              <w:right w:val="nil"/>
            </w:tcBorders>
            <w:shd w:val="clear" w:color="auto" w:fill="auto"/>
            <w:noWrap/>
            <w:vAlign w:val="bottom"/>
            <w:hideMark/>
          </w:tcPr>
          <w:p w14:paraId="1E8B6944"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6552231A"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2.4a</w:t>
            </w:r>
          </w:p>
        </w:tc>
        <w:tc>
          <w:tcPr>
            <w:tcW w:w="606" w:type="dxa"/>
            <w:tcBorders>
              <w:top w:val="nil"/>
              <w:left w:val="nil"/>
              <w:bottom w:val="nil"/>
              <w:right w:val="nil"/>
            </w:tcBorders>
            <w:shd w:val="clear" w:color="auto" w:fill="auto"/>
            <w:noWrap/>
            <w:vAlign w:val="bottom"/>
            <w:hideMark/>
          </w:tcPr>
          <w:p w14:paraId="1B198EA3"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61%</w:t>
            </w:r>
          </w:p>
        </w:tc>
        <w:tc>
          <w:tcPr>
            <w:tcW w:w="606" w:type="dxa"/>
            <w:tcBorders>
              <w:top w:val="nil"/>
              <w:left w:val="nil"/>
              <w:bottom w:val="nil"/>
              <w:right w:val="nil"/>
            </w:tcBorders>
            <w:shd w:val="clear" w:color="auto" w:fill="auto"/>
            <w:noWrap/>
            <w:vAlign w:val="bottom"/>
            <w:hideMark/>
          </w:tcPr>
          <w:p w14:paraId="3E81D629"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36%</w:t>
            </w:r>
          </w:p>
        </w:tc>
        <w:tc>
          <w:tcPr>
            <w:tcW w:w="509" w:type="dxa"/>
            <w:tcBorders>
              <w:top w:val="nil"/>
              <w:left w:val="nil"/>
              <w:bottom w:val="nil"/>
              <w:right w:val="nil"/>
            </w:tcBorders>
            <w:shd w:val="clear" w:color="auto" w:fill="auto"/>
            <w:noWrap/>
            <w:vAlign w:val="bottom"/>
            <w:hideMark/>
          </w:tcPr>
          <w:p w14:paraId="1601BFA9"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w:t>
            </w:r>
          </w:p>
        </w:tc>
        <w:tc>
          <w:tcPr>
            <w:tcW w:w="271" w:type="dxa"/>
            <w:tcBorders>
              <w:top w:val="nil"/>
              <w:left w:val="nil"/>
              <w:bottom w:val="nil"/>
              <w:right w:val="nil"/>
            </w:tcBorders>
            <w:shd w:val="clear" w:color="auto" w:fill="auto"/>
            <w:noWrap/>
            <w:vAlign w:val="bottom"/>
            <w:hideMark/>
          </w:tcPr>
          <w:p w14:paraId="5C2264EC"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2E86AA38"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Concern for profession &amp; lifelong learner</w:t>
            </w:r>
          </w:p>
        </w:tc>
      </w:tr>
      <w:tr w:rsidR="001764CC" w:rsidRPr="003E016F" w14:paraId="09519B0A" w14:textId="77777777" w:rsidTr="00802B5B">
        <w:trPr>
          <w:trHeight w:val="315"/>
        </w:trPr>
        <w:tc>
          <w:tcPr>
            <w:tcW w:w="997" w:type="dxa"/>
            <w:tcBorders>
              <w:top w:val="nil"/>
              <w:left w:val="nil"/>
              <w:bottom w:val="nil"/>
              <w:right w:val="nil"/>
            </w:tcBorders>
            <w:shd w:val="clear" w:color="auto" w:fill="auto"/>
            <w:noWrap/>
            <w:vAlign w:val="bottom"/>
            <w:hideMark/>
          </w:tcPr>
          <w:p w14:paraId="62AFD792"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0EEDF08E"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1.4b</w:t>
            </w:r>
          </w:p>
        </w:tc>
        <w:tc>
          <w:tcPr>
            <w:tcW w:w="606" w:type="dxa"/>
            <w:tcBorders>
              <w:top w:val="nil"/>
              <w:left w:val="nil"/>
              <w:bottom w:val="nil"/>
              <w:right w:val="nil"/>
            </w:tcBorders>
            <w:shd w:val="clear" w:color="auto" w:fill="auto"/>
            <w:noWrap/>
            <w:vAlign w:val="bottom"/>
            <w:hideMark/>
          </w:tcPr>
          <w:p w14:paraId="59323C5E"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14%</w:t>
            </w:r>
          </w:p>
        </w:tc>
        <w:tc>
          <w:tcPr>
            <w:tcW w:w="606" w:type="dxa"/>
            <w:tcBorders>
              <w:top w:val="nil"/>
              <w:left w:val="nil"/>
              <w:bottom w:val="nil"/>
              <w:right w:val="nil"/>
            </w:tcBorders>
            <w:shd w:val="clear" w:color="auto" w:fill="auto"/>
            <w:noWrap/>
            <w:vAlign w:val="bottom"/>
            <w:hideMark/>
          </w:tcPr>
          <w:p w14:paraId="7742D89B"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54%</w:t>
            </w:r>
          </w:p>
        </w:tc>
        <w:tc>
          <w:tcPr>
            <w:tcW w:w="606" w:type="dxa"/>
            <w:tcBorders>
              <w:top w:val="nil"/>
              <w:left w:val="nil"/>
              <w:bottom w:val="nil"/>
              <w:right w:val="nil"/>
            </w:tcBorders>
            <w:shd w:val="clear" w:color="auto" w:fill="auto"/>
            <w:noWrap/>
            <w:vAlign w:val="bottom"/>
            <w:hideMark/>
          </w:tcPr>
          <w:p w14:paraId="5A7CB92E"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32%</w:t>
            </w:r>
          </w:p>
        </w:tc>
        <w:tc>
          <w:tcPr>
            <w:tcW w:w="271" w:type="dxa"/>
            <w:tcBorders>
              <w:top w:val="nil"/>
              <w:left w:val="nil"/>
              <w:bottom w:val="nil"/>
              <w:right w:val="nil"/>
            </w:tcBorders>
            <w:shd w:val="clear" w:color="auto" w:fill="auto"/>
            <w:noWrap/>
            <w:vAlign w:val="bottom"/>
            <w:hideMark/>
          </w:tcPr>
          <w:p w14:paraId="7DD8F1C0"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06BF3D01"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2.4b</w:t>
            </w:r>
          </w:p>
        </w:tc>
        <w:tc>
          <w:tcPr>
            <w:tcW w:w="606" w:type="dxa"/>
            <w:tcBorders>
              <w:top w:val="nil"/>
              <w:left w:val="nil"/>
              <w:bottom w:val="nil"/>
              <w:right w:val="nil"/>
            </w:tcBorders>
            <w:shd w:val="clear" w:color="auto" w:fill="auto"/>
            <w:noWrap/>
            <w:vAlign w:val="bottom"/>
            <w:hideMark/>
          </w:tcPr>
          <w:p w14:paraId="7193F25A"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49%</w:t>
            </w:r>
          </w:p>
        </w:tc>
        <w:tc>
          <w:tcPr>
            <w:tcW w:w="606" w:type="dxa"/>
            <w:tcBorders>
              <w:top w:val="nil"/>
              <w:left w:val="nil"/>
              <w:bottom w:val="nil"/>
              <w:right w:val="nil"/>
            </w:tcBorders>
            <w:shd w:val="clear" w:color="auto" w:fill="auto"/>
            <w:noWrap/>
            <w:vAlign w:val="bottom"/>
            <w:hideMark/>
          </w:tcPr>
          <w:p w14:paraId="53C5603A"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51%</w:t>
            </w:r>
          </w:p>
        </w:tc>
        <w:tc>
          <w:tcPr>
            <w:tcW w:w="509" w:type="dxa"/>
            <w:tcBorders>
              <w:top w:val="nil"/>
              <w:left w:val="nil"/>
              <w:bottom w:val="nil"/>
              <w:right w:val="nil"/>
            </w:tcBorders>
            <w:shd w:val="clear" w:color="auto" w:fill="auto"/>
            <w:noWrap/>
            <w:vAlign w:val="bottom"/>
            <w:hideMark/>
          </w:tcPr>
          <w:p w14:paraId="560982E3"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0%</w:t>
            </w:r>
          </w:p>
        </w:tc>
        <w:tc>
          <w:tcPr>
            <w:tcW w:w="271" w:type="dxa"/>
            <w:tcBorders>
              <w:top w:val="nil"/>
              <w:left w:val="nil"/>
              <w:bottom w:val="nil"/>
              <w:right w:val="nil"/>
            </w:tcBorders>
            <w:shd w:val="clear" w:color="auto" w:fill="auto"/>
            <w:noWrap/>
            <w:vAlign w:val="bottom"/>
            <w:hideMark/>
          </w:tcPr>
          <w:p w14:paraId="45EF14EF"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0002DFD5"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Growth in creative problem solving</w:t>
            </w:r>
          </w:p>
        </w:tc>
      </w:tr>
      <w:tr w:rsidR="001764CC" w:rsidRPr="003E016F" w14:paraId="7FD72008" w14:textId="77777777" w:rsidTr="00802B5B">
        <w:trPr>
          <w:trHeight w:val="315"/>
        </w:trPr>
        <w:tc>
          <w:tcPr>
            <w:tcW w:w="997" w:type="dxa"/>
            <w:tcBorders>
              <w:top w:val="nil"/>
              <w:left w:val="nil"/>
              <w:bottom w:val="nil"/>
              <w:right w:val="nil"/>
            </w:tcBorders>
            <w:shd w:val="clear" w:color="auto" w:fill="auto"/>
            <w:noWrap/>
            <w:vAlign w:val="bottom"/>
            <w:hideMark/>
          </w:tcPr>
          <w:p w14:paraId="1AB58C01"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41C8BA9B"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1.4c</w:t>
            </w:r>
          </w:p>
        </w:tc>
        <w:tc>
          <w:tcPr>
            <w:tcW w:w="606" w:type="dxa"/>
            <w:tcBorders>
              <w:top w:val="nil"/>
              <w:left w:val="nil"/>
              <w:bottom w:val="nil"/>
              <w:right w:val="nil"/>
            </w:tcBorders>
            <w:shd w:val="clear" w:color="auto" w:fill="auto"/>
            <w:noWrap/>
            <w:vAlign w:val="bottom"/>
            <w:hideMark/>
          </w:tcPr>
          <w:p w14:paraId="4CABAE8A"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14%</w:t>
            </w:r>
          </w:p>
        </w:tc>
        <w:tc>
          <w:tcPr>
            <w:tcW w:w="606" w:type="dxa"/>
            <w:tcBorders>
              <w:top w:val="nil"/>
              <w:left w:val="nil"/>
              <w:bottom w:val="nil"/>
              <w:right w:val="nil"/>
            </w:tcBorders>
            <w:shd w:val="clear" w:color="auto" w:fill="auto"/>
            <w:noWrap/>
            <w:vAlign w:val="bottom"/>
            <w:hideMark/>
          </w:tcPr>
          <w:p w14:paraId="7153C2FD"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73%</w:t>
            </w:r>
          </w:p>
        </w:tc>
        <w:tc>
          <w:tcPr>
            <w:tcW w:w="606" w:type="dxa"/>
            <w:tcBorders>
              <w:top w:val="nil"/>
              <w:left w:val="nil"/>
              <w:bottom w:val="nil"/>
              <w:right w:val="nil"/>
            </w:tcBorders>
            <w:shd w:val="clear" w:color="auto" w:fill="auto"/>
            <w:noWrap/>
            <w:vAlign w:val="bottom"/>
            <w:hideMark/>
          </w:tcPr>
          <w:p w14:paraId="356C6277"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14%</w:t>
            </w:r>
          </w:p>
        </w:tc>
        <w:tc>
          <w:tcPr>
            <w:tcW w:w="271" w:type="dxa"/>
            <w:tcBorders>
              <w:top w:val="nil"/>
              <w:left w:val="nil"/>
              <w:bottom w:val="nil"/>
              <w:right w:val="nil"/>
            </w:tcBorders>
            <w:shd w:val="clear" w:color="auto" w:fill="auto"/>
            <w:noWrap/>
            <w:vAlign w:val="bottom"/>
            <w:hideMark/>
          </w:tcPr>
          <w:p w14:paraId="1A0A4121"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167156EC"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2.4c</w:t>
            </w:r>
          </w:p>
        </w:tc>
        <w:tc>
          <w:tcPr>
            <w:tcW w:w="606" w:type="dxa"/>
            <w:tcBorders>
              <w:top w:val="nil"/>
              <w:left w:val="nil"/>
              <w:bottom w:val="nil"/>
              <w:right w:val="nil"/>
            </w:tcBorders>
            <w:shd w:val="clear" w:color="auto" w:fill="auto"/>
            <w:noWrap/>
            <w:vAlign w:val="bottom"/>
            <w:hideMark/>
          </w:tcPr>
          <w:p w14:paraId="15205D99"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33%</w:t>
            </w:r>
          </w:p>
        </w:tc>
        <w:tc>
          <w:tcPr>
            <w:tcW w:w="606" w:type="dxa"/>
            <w:tcBorders>
              <w:top w:val="nil"/>
              <w:left w:val="nil"/>
              <w:bottom w:val="nil"/>
              <w:right w:val="nil"/>
            </w:tcBorders>
            <w:shd w:val="clear" w:color="auto" w:fill="auto"/>
            <w:noWrap/>
            <w:vAlign w:val="bottom"/>
            <w:hideMark/>
          </w:tcPr>
          <w:p w14:paraId="15B38376"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67%</w:t>
            </w:r>
          </w:p>
        </w:tc>
        <w:tc>
          <w:tcPr>
            <w:tcW w:w="509" w:type="dxa"/>
            <w:tcBorders>
              <w:top w:val="nil"/>
              <w:left w:val="nil"/>
              <w:bottom w:val="nil"/>
              <w:right w:val="nil"/>
            </w:tcBorders>
            <w:shd w:val="clear" w:color="auto" w:fill="auto"/>
            <w:noWrap/>
            <w:vAlign w:val="bottom"/>
            <w:hideMark/>
          </w:tcPr>
          <w:p w14:paraId="22C70748"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0%</w:t>
            </w:r>
          </w:p>
        </w:tc>
        <w:tc>
          <w:tcPr>
            <w:tcW w:w="271" w:type="dxa"/>
            <w:tcBorders>
              <w:top w:val="nil"/>
              <w:left w:val="nil"/>
              <w:bottom w:val="nil"/>
              <w:right w:val="nil"/>
            </w:tcBorders>
            <w:shd w:val="clear" w:color="auto" w:fill="auto"/>
            <w:noWrap/>
            <w:vAlign w:val="bottom"/>
            <w:hideMark/>
          </w:tcPr>
          <w:p w14:paraId="486F1E96"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69F53AA1"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Meets educational obligations</w:t>
            </w:r>
          </w:p>
        </w:tc>
      </w:tr>
      <w:tr w:rsidR="001764CC" w:rsidRPr="003E016F" w14:paraId="0D822CA8" w14:textId="77777777" w:rsidTr="00802B5B">
        <w:trPr>
          <w:trHeight w:val="315"/>
        </w:trPr>
        <w:tc>
          <w:tcPr>
            <w:tcW w:w="997" w:type="dxa"/>
            <w:tcBorders>
              <w:top w:val="nil"/>
              <w:left w:val="nil"/>
              <w:bottom w:val="nil"/>
              <w:right w:val="nil"/>
            </w:tcBorders>
            <w:shd w:val="clear" w:color="auto" w:fill="auto"/>
            <w:noWrap/>
            <w:vAlign w:val="bottom"/>
            <w:hideMark/>
          </w:tcPr>
          <w:p w14:paraId="7AF4C22C"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nil"/>
              <w:right w:val="nil"/>
            </w:tcBorders>
            <w:shd w:val="clear" w:color="auto" w:fill="auto"/>
            <w:noWrap/>
            <w:vAlign w:val="bottom"/>
            <w:hideMark/>
          </w:tcPr>
          <w:p w14:paraId="1ACA0826"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1.4d</w:t>
            </w:r>
          </w:p>
        </w:tc>
        <w:tc>
          <w:tcPr>
            <w:tcW w:w="606" w:type="dxa"/>
            <w:tcBorders>
              <w:top w:val="nil"/>
              <w:left w:val="nil"/>
              <w:bottom w:val="nil"/>
              <w:right w:val="nil"/>
            </w:tcBorders>
            <w:shd w:val="clear" w:color="auto" w:fill="auto"/>
            <w:noWrap/>
            <w:vAlign w:val="bottom"/>
            <w:hideMark/>
          </w:tcPr>
          <w:p w14:paraId="53A75E83"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43%</w:t>
            </w:r>
          </w:p>
        </w:tc>
        <w:tc>
          <w:tcPr>
            <w:tcW w:w="606" w:type="dxa"/>
            <w:tcBorders>
              <w:top w:val="nil"/>
              <w:left w:val="nil"/>
              <w:bottom w:val="nil"/>
              <w:right w:val="nil"/>
            </w:tcBorders>
            <w:shd w:val="clear" w:color="auto" w:fill="auto"/>
            <w:noWrap/>
            <w:vAlign w:val="bottom"/>
            <w:hideMark/>
          </w:tcPr>
          <w:p w14:paraId="56E1B715"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51%</w:t>
            </w:r>
          </w:p>
        </w:tc>
        <w:tc>
          <w:tcPr>
            <w:tcW w:w="606" w:type="dxa"/>
            <w:tcBorders>
              <w:top w:val="nil"/>
              <w:left w:val="nil"/>
              <w:bottom w:val="nil"/>
              <w:right w:val="nil"/>
            </w:tcBorders>
            <w:shd w:val="clear" w:color="auto" w:fill="auto"/>
            <w:noWrap/>
            <w:vAlign w:val="bottom"/>
            <w:hideMark/>
          </w:tcPr>
          <w:p w14:paraId="2C398542"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w:t>
            </w:r>
          </w:p>
        </w:tc>
        <w:tc>
          <w:tcPr>
            <w:tcW w:w="271" w:type="dxa"/>
            <w:tcBorders>
              <w:top w:val="nil"/>
              <w:left w:val="nil"/>
              <w:bottom w:val="nil"/>
              <w:right w:val="nil"/>
            </w:tcBorders>
            <w:shd w:val="clear" w:color="auto" w:fill="auto"/>
            <w:noWrap/>
            <w:vAlign w:val="bottom"/>
            <w:hideMark/>
          </w:tcPr>
          <w:p w14:paraId="35BA0CA5" w14:textId="77777777" w:rsidR="001764CC" w:rsidRPr="003E016F" w:rsidRDefault="001764CC" w:rsidP="001764CC">
            <w:pPr>
              <w:spacing w:before="0" w:after="0" w:line="240" w:lineRule="auto"/>
              <w:rPr>
                <w:rFonts w:eastAsia="Times New Roman"/>
                <w:color w:val="000000"/>
                <w:sz w:val="18"/>
                <w:szCs w:val="18"/>
              </w:rPr>
            </w:pPr>
          </w:p>
        </w:tc>
        <w:tc>
          <w:tcPr>
            <w:tcW w:w="557" w:type="dxa"/>
            <w:tcBorders>
              <w:top w:val="nil"/>
              <w:left w:val="nil"/>
              <w:bottom w:val="nil"/>
              <w:right w:val="nil"/>
            </w:tcBorders>
            <w:shd w:val="clear" w:color="auto" w:fill="auto"/>
            <w:noWrap/>
            <w:vAlign w:val="bottom"/>
            <w:hideMark/>
          </w:tcPr>
          <w:p w14:paraId="3D83DD59"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2.4d</w:t>
            </w:r>
          </w:p>
        </w:tc>
        <w:tc>
          <w:tcPr>
            <w:tcW w:w="606" w:type="dxa"/>
            <w:tcBorders>
              <w:top w:val="nil"/>
              <w:left w:val="nil"/>
              <w:bottom w:val="nil"/>
              <w:right w:val="nil"/>
            </w:tcBorders>
            <w:shd w:val="clear" w:color="auto" w:fill="auto"/>
            <w:noWrap/>
            <w:vAlign w:val="bottom"/>
            <w:hideMark/>
          </w:tcPr>
          <w:p w14:paraId="06CF7D25"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67%</w:t>
            </w:r>
          </w:p>
        </w:tc>
        <w:tc>
          <w:tcPr>
            <w:tcW w:w="606" w:type="dxa"/>
            <w:tcBorders>
              <w:top w:val="nil"/>
              <w:left w:val="nil"/>
              <w:bottom w:val="nil"/>
              <w:right w:val="nil"/>
            </w:tcBorders>
            <w:shd w:val="clear" w:color="auto" w:fill="auto"/>
            <w:noWrap/>
            <w:vAlign w:val="bottom"/>
            <w:hideMark/>
          </w:tcPr>
          <w:p w14:paraId="6100B7CD"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33%</w:t>
            </w:r>
          </w:p>
        </w:tc>
        <w:tc>
          <w:tcPr>
            <w:tcW w:w="509" w:type="dxa"/>
            <w:tcBorders>
              <w:top w:val="nil"/>
              <w:left w:val="nil"/>
              <w:bottom w:val="nil"/>
              <w:right w:val="nil"/>
            </w:tcBorders>
            <w:shd w:val="clear" w:color="auto" w:fill="auto"/>
            <w:noWrap/>
            <w:vAlign w:val="bottom"/>
            <w:hideMark/>
          </w:tcPr>
          <w:p w14:paraId="7398189F"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0%</w:t>
            </w:r>
          </w:p>
        </w:tc>
        <w:tc>
          <w:tcPr>
            <w:tcW w:w="271" w:type="dxa"/>
            <w:tcBorders>
              <w:top w:val="nil"/>
              <w:left w:val="nil"/>
              <w:bottom w:val="nil"/>
              <w:right w:val="nil"/>
            </w:tcBorders>
            <w:shd w:val="clear" w:color="auto" w:fill="auto"/>
            <w:noWrap/>
            <w:vAlign w:val="bottom"/>
            <w:hideMark/>
          </w:tcPr>
          <w:p w14:paraId="2CF59435" w14:textId="77777777" w:rsidR="001764CC" w:rsidRPr="003E016F" w:rsidRDefault="001764CC" w:rsidP="001764CC">
            <w:pPr>
              <w:spacing w:before="0" w:after="0" w:line="240" w:lineRule="auto"/>
              <w:rPr>
                <w:rFonts w:eastAsia="Times New Roman"/>
                <w:color w:val="000000"/>
                <w:sz w:val="20"/>
                <w:szCs w:val="20"/>
              </w:rPr>
            </w:pPr>
          </w:p>
        </w:tc>
        <w:tc>
          <w:tcPr>
            <w:tcW w:w="4037" w:type="dxa"/>
            <w:tcBorders>
              <w:top w:val="nil"/>
              <w:left w:val="nil"/>
              <w:bottom w:val="nil"/>
              <w:right w:val="nil"/>
            </w:tcBorders>
            <w:shd w:val="clear" w:color="auto" w:fill="auto"/>
            <w:noWrap/>
            <w:vAlign w:val="center"/>
            <w:hideMark/>
          </w:tcPr>
          <w:p w14:paraId="64438640"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Professional appearance</w:t>
            </w:r>
          </w:p>
        </w:tc>
      </w:tr>
      <w:tr w:rsidR="001764CC" w:rsidRPr="003E016F" w14:paraId="269BD4B0" w14:textId="77777777" w:rsidTr="00802B5B">
        <w:trPr>
          <w:trHeight w:val="315"/>
        </w:trPr>
        <w:tc>
          <w:tcPr>
            <w:tcW w:w="997" w:type="dxa"/>
            <w:tcBorders>
              <w:top w:val="nil"/>
              <w:left w:val="nil"/>
              <w:bottom w:val="single" w:sz="4" w:space="0" w:color="auto"/>
              <w:right w:val="nil"/>
            </w:tcBorders>
            <w:shd w:val="clear" w:color="auto" w:fill="auto"/>
            <w:noWrap/>
            <w:vAlign w:val="bottom"/>
            <w:hideMark/>
          </w:tcPr>
          <w:p w14:paraId="55F7CF9E"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Teacher</w:t>
            </w:r>
          </w:p>
        </w:tc>
        <w:tc>
          <w:tcPr>
            <w:tcW w:w="531" w:type="dxa"/>
            <w:tcBorders>
              <w:top w:val="nil"/>
              <w:left w:val="nil"/>
              <w:bottom w:val="single" w:sz="4" w:space="0" w:color="auto"/>
              <w:right w:val="nil"/>
            </w:tcBorders>
            <w:shd w:val="clear" w:color="auto" w:fill="auto"/>
            <w:noWrap/>
            <w:vAlign w:val="bottom"/>
            <w:hideMark/>
          </w:tcPr>
          <w:p w14:paraId="1EE4CF25"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1.4e</w:t>
            </w:r>
          </w:p>
        </w:tc>
        <w:tc>
          <w:tcPr>
            <w:tcW w:w="606" w:type="dxa"/>
            <w:tcBorders>
              <w:top w:val="nil"/>
              <w:left w:val="nil"/>
              <w:bottom w:val="single" w:sz="4" w:space="0" w:color="auto"/>
              <w:right w:val="nil"/>
            </w:tcBorders>
            <w:shd w:val="clear" w:color="auto" w:fill="auto"/>
            <w:noWrap/>
            <w:vAlign w:val="bottom"/>
            <w:hideMark/>
          </w:tcPr>
          <w:p w14:paraId="4AEB83C0"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46%</w:t>
            </w:r>
          </w:p>
        </w:tc>
        <w:tc>
          <w:tcPr>
            <w:tcW w:w="606" w:type="dxa"/>
            <w:tcBorders>
              <w:top w:val="nil"/>
              <w:left w:val="nil"/>
              <w:bottom w:val="single" w:sz="4" w:space="0" w:color="auto"/>
              <w:right w:val="nil"/>
            </w:tcBorders>
            <w:shd w:val="clear" w:color="auto" w:fill="auto"/>
            <w:noWrap/>
            <w:vAlign w:val="bottom"/>
            <w:hideMark/>
          </w:tcPr>
          <w:p w14:paraId="482A3743"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51%</w:t>
            </w:r>
          </w:p>
        </w:tc>
        <w:tc>
          <w:tcPr>
            <w:tcW w:w="606" w:type="dxa"/>
            <w:tcBorders>
              <w:top w:val="nil"/>
              <w:left w:val="nil"/>
              <w:bottom w:val="single" w:sz="4" w:space="0" w:color="auto"/>
              <w:right w:val="nil"/>
            </w:tcBorders>
            <w:shd w:val="clear" w:color="auto" w:fill="auto"/>
            <w:noWrap/>
            <w:vAlign w:val="bottom"/>
            <w:hideMark/>
          </w:tcPr>
          <w:p w14:paraId="1696EF5E"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w:t>
            </w:r>
          </w:p>
        </w:tc>
        <w:tc>
          <w:tcPr>
            <w:tcW w:w="271" w:type="dxa"/>
            <w:tcBorders>
              <w:top w:val="nil"/>
              <w:left w:val="nil"/>
              <w:bottom w:val="single" w:sz="4" w:space="0" w:color="auto"/>
              <w:right w:val="nil"/>
            </w:tcBorders>
            <w:shd w:val="clear" w:color="auto" w:fill="auto"/>
            <w:noWrap/>
            <w:vAlign w:val="bottom"/>
            <w:hideMark/>
          </w:tcPr>
          <w:p w14:paraId="37699D73" w14:textId="77777777" w:rsidR="001764CC" w:rsidRPr="003E016F" w:rsidRDefault="001764CC" w:rsidP="001764CC">
            <w:pPr>
              <w:spacing w:before="0" w:after="0" w:line="240" w:lineRule="auto"/>
              <w:rPr>
                <w:rFonts w:eastAsia="Times New Roman"/>
                <w:color w:val="000000"/>
                <w:sz w:val="18"/>
                <w:szCs w:val="18"/>
              </w:rPr>
            </w:pPr>
            <w:r w:rsidRPr="003E016F">
              <w:rPr>
                <w:rFonts w:eastAsia="Times New Roman"/>
                <w:color w:val="000000"/>
                <w:sz w:val="18"/>
                <w:szCs w:val="18"/>
              </w:rPr>
              <w:t> </w:t>
            </w:r>
          </w:p>
        </w:tc>
        <w:tc>
          <w:tcPr>
            <w:tcW w:w="557" w:type="dxa"/>
            <w:tcBorders>
              <w:top w:val="nil"/>
              <w:left w:val="nil"/>
              <w:bottom w:val="single" w:sz="4" w:space="0" w:color="auto"/>
              <w:right w:val="nil"/>
            </w:tcBorders>
            <w:shd w:val="clear" w:color="auto" w:fill="auto"/>
            <w:noWrap/>
            <w:vAlign w:val="bottom"/>
            <w:hideMark/>
          </w:tcPr>
          <w:p w14:paraId="69CA165F" w14:textId="77777777" w:rsidR="001764CC" w:rsidRPr="003E016F" w:rsidRDefault="001764CC" w:rsidP="001764CC">
            <w:pPr>
              <w:spacing w:before="0" w:after="0" w:line="240" w:lineRule="auto"/>
              <w:jc w:val="center"/>
              <w:rPr>
                <w:rFonts w:eastAsia="Times New Roman"/>
                <w:color w:val="000000"/>
                <w:sz w:val="18"/>
                <w:szCs w:val="18"/>
              </w:rPr>
            </w:pPr>
            <w:r w:rsidRPr="003E016F">
              <w:rPr>
                <w:rFonts w:eastAsia="Times New Roman"/>
                <w:color w:val="000000"/>
                <w:sz w:val="18"/>
                <w:szCs w:val="18"/>
              </w:rPr>
              <w:t>2.4e</w:t>
            </w:r>
          </w:p>
        </w:tc>
        <w:tc>
          <w:tcPr>
            <w:tcW w:w="606" w:type="dxa"/>
            <w:tcBorders>
              <w:top w:val="nil"/>
              <w:left w:val="nil"/>
              <w:bottom w:val="single" w:sz="4" w:space="0" w:color="auto"/>
              <w:right w:val="nil"/>
            </w:tcBorders>
            <w:shd w:val="clear" w:color="auto" w:fill="auto"/>
            <w:noWrap/>
            <w:vAlign w:val="bottom"/>
            <w:hideMark/>
          </w:tcPr>
          <w:p w14:paraId="08C9334D"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64%</w:t>
            </w:r>
          </w:p>
        </w:tc>
        <w:tc>
          <w:tcPr>
            <w:tcW w:w="606" w:type="dxa"/>
            <w:tcBorders>
              <w:top w:val="nil"/>
              <w:left w:val="nil"/>
              <w:bottom w:val="single" w:sz="4" w:space="0" w:color="auto"/>
              <w:right w:val="nil"/>
            </w:tcBorders>
            <w:shd w:val="clear" w:color="auto" w:fill="auto"/>
            <w:noWrap/>
            <w:vAlign w:val="bottom"/>
            <w:hideMark/>
          </w:tcPr>
          <w:p w14:paraId="29C1BCF5"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36%</w:t>
            </w:r>
          </w:p>
        </w:tc>
        <w:tc>
          <w:tcPr>
            <w:tcW w:w="509" w:type="dxa"/>
            <w:tcBorders>
              <w:top w:val="nil"/>
              <w:left w:val="nil"/>
              <w:bottom w:val="single" w:sz="4" w:space="0" w:color="auto"/>
              <w:right w:val="nil"/>
            </w:tcBorders>
            <w:shd w:val="clear" w:color="auto" w:fill="auto"/>
            <w:noWrap/>
            <w:vAlign w:val="bottom"/>
            <w:hideMark/>
          </w:tcPr>
          <w:p w14:paraId="087ACE63" w14:textId="77777777" w:rsidR="001764CC" w:rsidRPr="003E016F" w:rsidRDefault="001764CC" w:rsidP="001764CC">
            <w:pPr>
              <w:spacing w:before="0" w:after="0" w:line="240" w:lineRule="auto"/>
              <w:jc w:val="right"/>
              <w:rPr>
                <w:rFonts w:eastAsia="Times New Roman"/>
                <w:color w:val="000000"/>
                <w:sz w:val="18"/>
                <w:szCs w:val="18"/>
              </w:rPr>
            </w:pPr>
            <w:r w:rsidRPr="003E016F">
              <w:rPr>
                <w:rFonts w:eastAsia="Times New Roman"/>
                <w:color w:val="000000"/>
                <w:sz w:val="18"/>
                <w:szCs w:val="18"/>
              </w:rPr>
              <w:t>0%</w:t>
            </w:r>
          </w:p>
        </w:tc>
        <w:tc>
          <w:tcPr>
            <w:tcW w:w="271" w:type="dxa"/>
            <w:tcBorders>
              <w:top w:val="nil"/>
              <w:left w:val="nil"/>
              <w:bottom w:val="single" w:sz="4" w:space="0" w:color="auto"/>
              <w:right w:val="nil"/>
            </w:tcBorders>
            <w:shd w:val="clear" w:color="auto" w:fill="auto"/>
            <w:noWrap/>
            <w:vAlign w:val="bottom"/>
            <w:hideMark/>
          </w:tcPr>
          <w:p w14:paraId="6A4C5519"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 </w:t>
            </w:r>
          </w:p>
        </w:tc>
        <w:tc>
          <w:tcPr>
            <w:tcW w:w="4037" w:type="dxa"/>
            <w:tcBorders>
              <w:top w:val="nil"/>
              <w:left w:val="nil"/>
              <w:bottom w:val="single" w:sz="4" w:space="0" w:color="auto"/>
              <w:right w:val="nil"/>
            </w:tcBorders>
            <w:shd w:val="clear" w:color="auto" w:fill="auto"/>
            <w:noWrap/>
            <w:vAlign w:val="center"/>
            <w:hideMark/>
          </w:tcPr>
          <w:p w14:paraId="0D699593" w14:textId="77777777" w:rsidR="001764CC" w:rsidRPr="003E016F" w:rsidRDefault="001764CC" w:rsidP="001764CC">
            <w:pPr>
              <w:spacing w:before="0" w:after="0" w:line="240" w:lineRule="auto"/>
              <w:rPr>
                <w:rFonts w:eastAsia="Times New Roman"/>
                <w:color w:val="000000"/>
                <w:sz w:val="20"/>
                <w:szCs w:val="20"/>
              </w:rPr>
            </w:pPr>
            <w:r w:rsidRPr="003E016F">
              <w:rPr>
                <w:rFonts w:eastAsia="Times New Roman"/>
                <w:color w:val="000000"/>
                <w:sz w:val="20"/>
                <w:szCs w:val="20"/>
              </w:rPr>
              <w:t>Consistent positive attitude</w:t>
            </w:r>
          </w:p>
        </w:tc>
      </w:tr>
    </w:tbl>
    <w:p w14:paraId="433B24D3" w14:textId="77777777" w:rsidR="00430517" w:rsidRDefault="00DE2BE6" w:rsidP="00DE2BE6">
      <w:r>
        <w:lastRenderedPageBreak/>
        <w:t>In Tables 13 and 14, the focus of the</w:t>
      </w:r>
      <w:r w:rsidRPr="00DE2BE6">
        <w:t xml:space="preserve"> analysis</w:t>
      </w:r>
      <w:r>
        <w:t xml:space="preserve"> </w:t>
      </w:r>
      <w:r w:rsidR="005D4B7B">
        <w:t>is</w:t>
      </w:r>
      <w:r w:rsidRPr="00DE2BE6">
        <w:t xml:space="preserve"> on the percent of students and candidates who are in the Developing (1) level with the remainder being of course in one of two levels of proficiency.  Looking at the Teacher </w:t>
      </w:r>
      <w:r w:rsidR="00F67133">
        <w:t>Stage I</w:t>
      </w:r>
      <w:r w:rsidRPr="00DE2BE6">
        <w:t xml:space="preserve"> data and following Developing or #1 down</w:t>
      </w:r>
      <w:r>
        <w:t xml:space="preserve"> in Table 13 on the previous page, </w:t>
      </w:r>
      <w:r w:rsidRPr="00DE2BE6">
        <w:t>it becomes quite clear there is a substantial difference in the percentage of students in the Developing category, both among the standards (the 4Cs) and among the dispositions.  For example, the Culture Standard baseline has an average of 4% in the Developing level with the four individual dispositions</w:t>
      </w:r>
      <w:r>
        <w:t xml:space="preserve">, 1.1a, 1.1b, and 1.1c, are </w:t>
      </w:r>
      <w:r w:rsidRPr="00DE2BE6">
        <w:t xml:space="preserve"> relatively consistent meaning the Culture component is quite </w:t>
      </w:r>
      <w:r w:rsidRPr="00430517">
        <w:rPr>
          <w:i/>
        </w:rPr>
        <w:t xml:space="preserve">strong </w:t>
      </w:r>
      <w:r>
        <w:t>for two reasons; the percentage in Developing is low and the scores are consistent within that standard</w:t>
      </w:r>
      <w:r w:rsidRPr="00DE2BE6">
        <w:t>.  On the other</w:t>
      </w:r>
      <w:r>
        <w:t xml:space="preserve"> </w:t>
      </w:r>
      <w:r w:rsidRPr="00DE2BE6">
        <w:t>hand, dropping down to the Communication Standard</w:t>
      </w:r>
      <w:r>
        <w:t xml:space="preserve"> in Table 13</w:t>
      </w:r>
      <w:r w:rsidRPr="00DE2BE6">
        <w:t xml:space="preserve">, the average number of students in the Developing level is six times </w:t>
      </w:r>
      <w:r>
        <w:t>what it is</w:t>
      </w:r>
      <w:r w:rsidRPr="00DE2BE6">
        <w:t xml:space="preserve"> in</w:t>
      </w:r>
      <w:r>
        <w:t xml:space="preserve"> the </w:t>
      </w:r>
      <w:r w:rsidRPr="00DE2BE6">
        <w:t>Culture</w:t>
      </w:r>
      <w:r>
        <w:t xml:space="preserve"> standard</w:t>
      </w:r>
      <w:r w:rsidRPr="00DE2BE6">
        <w:t>.  The dispositions are quite consistent, meaning in Communication, there is consistently a weak presence among the students regarding Communication</w:t>
      </w:r>
      <w:r>
        <w:t xml:space="preserve"> as perceived by the </w:t>
      </w:r>
      <w:r w:rsidR="003A284F">
        <w:t>Division</w:t>
      </w:r>
      <w:r w:rsidR="005D4B7B">
        <w:t xml:space="preserve"> </w:t>
      </w:r>
      <w:r>
        <w:t>rater</w:t>
      </w:r>
      <w:r w:rsidRPr="00DE2BE6">
        <w:t xml:space="preserve">.  </w:t>
      </w:r>
    </w:p>
    <w:p w14:paraId="4F009808" w14:textId="77777777" w:rsidR="00DE2BE6" w:rsidRPr="00DE2BE6" w:rsidRDefault="00DE2BE6" w:rsidP="00DE2BE6">
      <w:r w:rsidRPr="00DE2BE6">
        <w:t xml:space="preserve">Citizenship and Critical Thinking are similar to each other in that they both have approximately the same overall percentage in the </w:t>
      </w:r>
      <w:r>
        <w:t>their</w:t>
      </w:r>
      <w:r w:rsidRPr="00DE2BE6">
        <w:t xml:space="preserve"> Standards, 18% and 16% respectively, and both have substantially mixed levels of performance among the dispositions in each of those two standards</w:t>
      </w:r>
      <w:r>
        <w:t xml:space="preserve">.  Hence they are both </w:t>
      </w:r>
      <w:r w:rsidRPr="00DE2BE6">
        <w:rPr>
          <w:i/>
        </w:rPr>
        <w:t>weak</w:t>
      </w:r>
      <w:r>
        <w:t xml:space="preserve"> for two reasons; they have poor scores with inconsistent frequencies, the opposite of Culture.</w:t>
      </w:r>
    </w:p>
    <w:p w14:paraId="64D53B87" w14:textId="77777777" w:rsidR="00B0389A" w:rsidRDefault="00430517" w:rsidP="00430517">
      <w:r>
        <w:t>S</w:t>
      </w:r>
      <w:r w:rsidRPr="00430517">
        <w:t xml:space="preserve">ome very good information awaits examination when looking across the same teacher data </w:t>
      </w:r>
      <w:r>
        <w:t xml:space="preserve">in Table 13, </w:t>
      </w:r>
      <w:r w:rsidRPr="00430517">
        <w:t xml:space="preserve"> </w:t>
      </w:r>
      <w:r w:rsidR="00F67133">
        <w:t>Stage II</w:t>
      </w:r>
      <w:r w:rsidRPr="00430517">
        <w:t xml:space="preserve">,  Again, looking down the Developing or </w:t>
      </w:r>
      <w:r>
        <w:t xml:space="preserve">the </w:t>
      </w:r>
      <w:r w:rsidRPr="00430517">
        <w:t xml:space="preserve">1 column of </w:t>
      </w:r>
      <w:r w:rsidR="00F67133">
        <w:t>Stage II</w:t>
      </w:r>
      <w:r w:rsidRPr="00430517">
        <w:t xml:space="preserve"> data, nearly all of the Developing students have moved over to Exemplary or Proficient, leaving an overall decrease in Developing across all 4Cs from 15% to just 1%.  Looking down the Developing column, the maximum percentage of Developing students is just 3%, down from the baseline maximum of 32%!  In addition, The Exemplary percentage went from a baseline of 26% for all four standards to 49%, again a remarkable reflection on the </w:t>
      </w:r>
      <w:r>
        <w:t xml:space="preserve">capacity of the </w:t>
      </w:r>
      <w:r w:rsidRPr="00430517">
        <w:t>program</w:t>
      </w:r>
      <w:r>
        <w:t xml:space="preserve"> to meet desired standards</w:t>
      </w:r>
      <w:r w:rsidRPr="00430517">
        <w:t>.</w:t>
      </w:r>
    </w:p>
    <w:p w14:paraId="635994F7" w14:textId="77777777" w:rsidR="007333D9" w:rsidRDefault="00B0389A" w:rsidP="007333D9">
      <w:r>
        <w:t>These findings are so good they merit a chart to perceptually display how good they are!</w:t>
      </w:r>
      <w:r w:rsidR="00430517" w:rsidRPr="00430517">
        <w:t xml:space="preserve"> </w:t>
      </w:r>
      <w:r>
        <w:rPr>
          <w:noProof/>
        </w:rPr>
        <w:drawing>
          <wp:inline distT="0" distB="0" distL="0" distR="0" wp14:anchorId="337D2CE5" wp14:editId="64302501">
            <wp:extent cx="6323162" cy="3096883"/>
            <wp:effectExtent l="0" t="0" r="20955" b="279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B4A949" w14:textId="77777777" w:rsidR="00DE2BE6" w:rsidRDefault="00B0389A" w:rsidP="001764CC">
      <w:r>
        <w:lastRenderedPageBreak/>
        <w:t>The disposition</w:t>
      </w:r>
      <w:r w:rsidR="00B27601">
        <w:t>s</w:t>
      </w:r>
      <w:r>
        <w:t xml:space="preserve"> being charted can be found in Table </w:t>
      </w:r>
      <w:r w:rsidR="00B27601">
        <w:t>13</w:t>
      </w:r>
      <w:r w:rsidR="005D4B7B">
        <w:t xml:space="preserve"> above</w:t>
      </w:r>
      <w:r w:rsidR="00B27601">
        <w:t xml:space="preserve">.   The blue bars are the baseline scores and the reddish bars reflect the greatly decreased level of </w:t>
      </w:r>
      <w:r w:rsidR="00DF3F86">
        <w:t>Developing</w:t>
      </w:r>
      <w:r w:rsidR="00B27601">
        <w:t xml:space="preserve"> responses toward the end of the </w:t>
      </w:r>
      <w:r w:rsidR="002025E6">
        <w:t xml:space="preserve">Teacher Program </w:t>
      </w:r>
      <w:proofErr w:type="spellStart"/>
      <w:r w:rsidR="002025E6">
        <w:t>Program</w:t>
      </w:r>
      <w:proofErr w:type="spellEnd"/>
      <w:r w:rsidR="00B27601">
        <w:t xml:space="preserve">.  The final ratings are for the same dispositions as the initial but are preceded by a 2 instead of a </w:t>
      </w:r>
      <w:r w:rsidR="005D4B7B">
        <w:t>1</w:t>
      </w:r>
      <w:r w:rsidR="00B27601">
        <w:t xml:space="preserve"> to indicate they were the second round of scoring the TPT assessment.</w:t>
      </w:r>
    </w:p>
    <w:p w14:paraId="73CF4263" w14:textId="77777777" w:rsidR="00B27601" w:rsidRDefault="00B27601" w:rsidP="001764CC">
      <w:r>
        <w:t xml:space="preserve">The next table, Table 14, has the same form as Table 13 but </w:t>
      </w:r>
      <w:r w:rsidR="005D4B7B">
        <w:t>represent</w:t>
      </w:r>
      <w:r>
        <w:t xml:space="preserve"> the students’ </w:t>
      </w:r>
      <w:r w:rsidR="00DF3F86">
        <w:t>self-scores</w:t>
      </w:r>
      <w:r>
        <w:t xml:space="preserve"> rather than teachers.</w:t>
      </w:r>
    </w:p>
    <w:tbl>
      <w:tblPr>
        <w:tblW w:w="10079" w:type="dxa"/>
        <w:tblInd w:w="93" w:type="dxa"/>
        <w:tblLook w:val="04A0" w:firstRow="1" w:lastRow="0" w:firstColumn="1" w:lastColumn="0" w:noHBand="0" w:noVBand="1"/>
      </w:tblPr>
      <w:tblGrid>
        <w:gridCol w:w="746"/>
        <w:gridCol w:w="531"/>
        <w:gridCol w:w="576"/>
        <w:gridCol w:w="576"/>
        <w:gridCol w:w="576"/>
        <w:gridCol w:w="266"/>
        <w:gridCol w:w="531"/>
        <w:gridCol w:w="576"/>
        <w:gridCol w:w="576"/>
        <w:gridCol w:w="576"/>
        <w:gridCol w:w="266"/>
        <w:gridCol w:w="4283"/>
      </w:tblGrid>
      <w:tr w:rsidR="00DF3F86" w:rsidRPr="00DF3F86" w14:paraId="44FB9848" w14:textId="77777777" w:rsidTr="00DF3F86">
        <w:trPr>
          <w:trHeight w:val="330"/>
        </w:trPr>
        <w:tc>
          <w:tcPr>
            <w:tcW w:w="10079" w:type="dxa"/>
            <w:gridSpan w:val="12"/>
            <w:tcBorders>
              <w:top w:val="single" w:sz="4" w:space="0" w:color="auto"/>
              <w:left w:val="nil"/>
              <w:bottom w:val="single" w:sz="4" w:space="0" w:color="auto"/>
              <w:right w:val="nil"/>
            </w:tcBorders>
            <w:shd w:val="clear" w:color="auto" w:fill="auto"/>
            <w:noWrap/>
            <w:vAlign w:val="bottom"/>
            <w:hideMark/>
          </w:tcPr>
          <w:p w14:paraId="7132CD51" w14:textId="77777777" w:rsidR="00DF3F86" w:rsidRPr="00087484" w:rsidRDefault="005D4B7B" w:rsidP="00087484">
            <w:pPr>
              <w:pStyle w:val="Caption"/>
              <w:jc w:val="center"/>
              <w:rPr>
                <w:rFonts w:eastAsia="Times New Roman"/>
                <w:bCs w:val="0"/>
                <w:color w:val="000000"/>
                <w:sz w:val="26"/>
                <w:szCs w:val="26"/>
              </w:rPr>
            </w:pPr>
            <w:bookmarkStart w:id="38" w:name="_Toc492828036"/>
            <w:r>
              <w:rPr>
                <w:color w:val="000000" w:themeColor="text1"/>
                <w:sz w:val="26"/>
                <w:szCs w:val="26"/>
              </w:rPr>
              <w:t>T</w:t>
            </w:r>
            <w:r w:rsidR="00643E33" w:rsidRPr="00643E33">
              <w:rPr>
                <w:color w:val="000000" w:themeColor="text1"/>
                <w:sz w:val="26"/>
                <w:szCs w:val="26"/>
              </w:rPr>
              <w:t xml:space="preserve">able </w:t>
            </w:r>
            <w:r w:rsidR="00643E33" w:rsidRPr="00643E33">
              <w:rPr>
                <w:color w:val="000000" w:themeColor="text1"/>
                <w:sz w:val="26"/>
                <w:szCs w:val="26"/>
              </w:rPr>
              <w:fldChar w:fldCharType="begin"/>
            </w:r>
            <w:r w:rsidR="00643E33" w:rsidRPr="00643E33">
              <w:rPr>
                <w:color w:val="000000" w:themeColor="text1"/>
                <w:sz w:val="26"/>
                <w:szCs w:val="26"/>
              </w:rPr>
              <w:instrText xml:space="preserve"> SEQ Table \* ARABIC </w:instrText>
            </w:r>
            <w:r w:rsidR="00643E33" w:rsidRPr="00643E33">
              <w:rPr>
                <w:color w:val="000000" w:themeColor="text1"/>
                <w:sz w:val="26"/>
                <w:szCs w:val="26"/>
              </w:rPr>
              <w:fldChar w:fldCharType="separate"/>
            </w:r>
            <w:r w:rsidR="0010294F">
              <w:rPr>
                <w:noProof/>
                <w:color w:val="000000" w:themeColor="text1"/>
                <w:sz w:val="26"/>
                <w:szCs w:val="26"/>
              </w:rPr>
              <w:t>14</w:t>
            </w:r>
            <w:r w:rsidR="00643E33" w:rsidRPr="00643E33">
              <w:rPr>
                <w:color w:val="000000" w:themeColor="text1"/>
                <w:sz w:val="26"/>
                <w:szCs w:val="26"/>
              </w:rPr>
              <w:fldChar w:fldCharType="end"/>
            </w:r>
            <w:r w:rsidR="00DF3F86" w:rsidRPr="00087484">
              <w:rPr>
                <w:rFonts w:eastAsia="Times New Roman"/>
                <w:bCs w:val="0"/>
                <w:color w:val="000000"/>
                <w:sz w:val="26"/>
                <w:szCs w:val="26"/>
              </w:rPr>
              <w:t>:  Student Self-Scored TPT 4Cs Evaluation</w:t>
            </w:r>
            <w:bookmarkEnd w:id="38"/>
          </w:p>
        </w:tc>
      </w:tr>
      <w:tr w:rsidR="00DF3F86" w:rsidRPr="00DF3F86" w14:paraId="2770DA5A" w14:textId="77777777" w:rsidTr="00DF3F86">
        <w:trPr>
          <w:trHeight w:val="315"/>
        </w:trPr>
        <w:tc>
          <w:tcPr>
            <w:tcW w:w="3005" w:type="dxa"/>
            <w:gridSpan w:val="5"/>
            <w:tcBorders>
              <w:top w:val="nil"/>
              <w:left w:val="nil"/>
              <w:bottom w:val="nil"/>
              <w:right w:val="nil"/>
            </w:tcBorders>
            <w:shd w:val="clear" w:color="auto" w:fill="auto"/>
            <w:noWrap/>
            <w:vAlign w:val="bottom"/>
            <w:hideMark/>
          </w:tcPr>
          <w:p w14:paraId="030DE5BD" w14:textId="77777777" w:rsidR="00DF3F86" w:rsidRPr="00DF3F86" w:rsidRDefault="00F67133" w:rsidP="00DF3F86">
            <w:pPr>
              <w:spacing w:before="0" w:after="0" w:line="240" w:lineRule="auto"/>
              <w:jc w:val="center"/>
              <w:rPr>
                <w:rFonts w:eastAsia="Times New Roman"/>
                <w:b/>
                <w:bCs/>
                <w:color w:val="000000"/>
                <w:szCs w:val="24"/>
              </w:rPr>
            </w:pPr>
            <w:r>
              <w:rPr>
                <w:rFonts w:eastAsia="Times New Roman"/>
                <w:b/>
                <w:bCs/>
                <w:color w:val="000000"/>
                <w:szCs w:val="24"/>
              </w:rPr>
              <w:t>STAGE I</w:t>
            </w:r>
          </w:p>
        </w:tc>
        <w:tc>
          <w:tcPr>
            <w:tcW w:w="266" w:type="dxa"/>
            <w:tcBorders>
              <w:top w:val="nil"/>
              <w:left w:val="nil"/>
              <w:bottom w:val="nil"/>
              <w:right w:val="nil"/>
            </w:tcBorders>
            <w:shd w:val="clear" w:color="auto" w:fill="auto"/>
            <w:noWrap/>
            <w:vAlign w:val="bottom"/>
            <w:hideMark/>
          </w:tcPr>
          <w:p w14:paraId="4733467F" w14:textId="77777777" w:rsidR="00DF3F86" w:rsidRPr="00DF3F86" w:rsidRDefault="00DF3F86" w:rsidP="00DF3F86">
            <w:pPr>
              <w:spacing w:before="0" w:after="0" w:line="240" w:lineRule="auto"/>
              <w:rPr>
                <w:rFonts w:eastAsia="Times New Roman"/>
                <w:color w:val="000000"/>
                <w:szCs w:val="24"/>
              </w:rPr>
            </w:pPr>
          </w:p>
        </w:tc>
        <w:tc>
          <w:tcPr>
            <w:tcW w:w="2259" w:type="dxa"/>
            <w:gridSpan w:val="4"/>
            <w:tcBorders>
              <w:top w:val="nil"/>
              <w:left w:val="nil"/>
              <w:bottom w:val="nil"/>
              <w:right w:val="nil"/>
            </w:tcBorders>
            <w:shd w:val="clear" w:color="auto" w:fill="auto"/>
            <w:noWrap/>
            <w:vAlign w:val="bottom"/>
            <w:hideMark/>
          </w:tcPr>
          <w:p w14:paraId="152450E1" w14:textId="77777777" w:rsidR="00DF3F86" w:rsidRPr="00DF3F86" w:rsidRDefault="00F67133" w:rsidP="00DF3F86">
            <w:pPr>
              <w:spacing w:before="0" w:after="0" w:line="240" w:lineRule="auto"/>
              <w:jc w:val="center"/>
              <w:rPr>
                <w:rFonts w:eastAsia="Times New Roman"/>
                <w:b/>
                <w:bCs/>
                <w:color w:val="000000"/>
                <w:szCs w:val="24"/>
              </w:rPr>
            </w:pPr>
            <w:r>
              <w:rPr>
                <w:rFonts w:eastAsia="Times New Roman"/>
                <w:b/>
                <w:bCs/>
                <w:color w:val="000000"/>
                <w:szCs w:val="24"/>
              </w:rPr>
              <w:t>STAGE II</w:t>
            </w:r>
          </w:p>
        </w:tc>
        <w:tc>
          <w:tcPr>
            <w:tcW w:w="266" w:type="dxa"/>
            <w:tcBorders>
              <w:top w:val="nil"/>
              <w:left w:val="nil"/>
              <w:bottom w:val="nil"/>
              <w:right w:val="nil"/>
            </w:tcBorders>
            <w:shd w:val="clear" w:color="auto" w:fill="auto"/>
            <w:noWrap/>
            <w:vAlign w:val="bottom"/>
            <w:hideMark/>
          </w:tcPr>
          <w:p w14:paraId="2D3F90F2" w14:textId="77777777" w:rsidR="00DF3F86" w:rsidRPr="00DF3F86" w:rsidRDefault="00DF3F86" w:rsidP="00DF3F86">
            <w:pPr>
              <w:spacing w:before="0" w:after="0" w:line="240" w:lineRule="auto"/>
              <w:rPr>
                <w:rFonts w:eastAsia="Times New Roman"/>
                <w:color w:val="000000"/>
                <w:szCs w:val="24"/>
              </w:rPr>
            </w:pPr>
          </w:p>
        </w:tc>
        <w:tc>
          <w:tcPr>
            <w:tcW w:w="4283" w:type="dxa"/>
            <w:tcBorders>
              <w:top w:val="nil"/>
              <w:left w:val="nil"/>
              <w:bottom w:val="nil"/>
              <w:right w:val="nil"/>
            </w:tcBorders>
            <w:shd w:val="clear" w:color="auto" w:fill="auto"/>
            <w:noWrap/>
            <w:vAlign w:val="bottom"/>
            <w:hideMark/>
          </w:tcPr>
          <w:p w14:paraId="7AA85925" w14:textId="77777777" w:rsidR="00DF3F86" w:rsidRPr="00DF3F86" w:rsidRDefault="00DF3F86" w:rsidP="00DF3F86">
            <w:pPr>
              <w:spacing w:before="0" w:after="0" w:line="240" w:lineRule="auto"/>
              <w:rPr>
                <w:rFonts w:eastAsia="Times New Roman"/>
                <w:b/>
                <w:bCs/>
                <w:color w:val="000000"/>
                <w:sz w:val="20"/>
                <w:szCs w:val="20"/>
              </w:rPr>
            </w:pPr>
            <w:r w:rsidRPr="00DF3F86">
              <w:rPr>
                <w:rFonts w:eastAsia="Times New Roman"/>
                <w:b/>
                <w:bCs/>
                <w:color w:val="000000"/>
                <w:sz w:val="20"/>
                <w:szCs w:val="20"/>
              </w:rPr>
              <w:t>N =53 and N = 33 Respectively</w:t>
            </w:r>
          </w:p>
        </w:tc>
      </w:tr>
      <w:tr w:rsidR="00DF3F86" w:rsidRPr="00DF3F86" w14:paraId="6AB94212" w14:textId="77777777" w:rsidTr="00DF3F86">
        <w:trPr>
          <w:trHeight w:val="315"/>
        </w:trPr>
        <w:tc>
          <w:tcPr>
            <w:tcW w:w="746" w:type="dxa"/>
            <w:tcBorders>
              <w:top w:val="nil"/>
              <w:left w:val="nil"/>
              <w:bottom w:val="single" w:sz="4" w:space="0" w:color="auto"/>
              <w:right w:val="nil"/>
            </w:tcBorders>
            <w:shd w:val="clear" w:color="auto" w:fill="auto"/>
            <w:noWrap/>
            <w:vAlign w:val="bottom"/>
            <w:hideMark/>
          </w:tcPr>
          <w:p w14:paraId="2F75768E" w14:textId="77777777" w:rsidR="00DF3F86" w:rsidRPr="00DF3F86" w:rsidRDefault="00DF3F86" w:rsidP="00DF3F86">
            <w:pPr>
              <w:spacing w:before="0" w:after="0" w:line="240" w:lineRule="auto"/>
              <w:jc w:val="center"/>
              <w:rPr>
                <w:rFonts w:eastAsia="Times New Roman"/>
                <w:b/>
                <w:bCs/>
                <w:color w:val="000000"/>
                <w:sz w:val="20"/>
                <w:szCs w:val="24"/>
              </w:rPr>
            </w:pPr>
            <w:r w:rsidRPr="00DF3F86">
              <w:rPr>
                <w:rFonts w:eastAsia="Times New Roman"/>
                <w:b/>
                <w:bCs/>
                <w:color w:val="000000"/>
                <w:sz w:val="20"/>
                <w:szCs w:val="24"/>
              </w:rPr>
              <w:t>Rater</w:t>
            </w:r>
          </w:p>
        </w:tc>
        <w:tc>
          <w:tcPr>
            <w:tcW w:w="531" w:type="dxa"/>
            <w:tcBorders>
              <w:top w:val="nil"/>
              <w:left w:val="nil"/>
              <w:bottom w:val="single" w:sz="4" w:space="0" w:color="auto"/>
              <w:right w:val="nil"/>
            </w:tcBorders>
            <w:shd w:val="clear" w:color="auto" w:fill="auto"/>
            <w:noWrap/>
            <w:vAlign w:val="bottom"/>
            <w:hideMark/>
          </w:tcPr>
          <w:p w14:paraId="4851E07B" w14:textId="77777777" w:rsidR="00DF3F86" w:rsidRPr="00DF3F86" w:rsidRDefault="00DF3F86" w:rsidP="00DF3F86">
            <w:pPr>
              <w:spacing w:before="0" w:after="0" w:line="240" w:lineRule="auto"/>
              <w:jc w:val="center"/>
              <w:rPr>
                <w:rFonts w:eastAsia="Times New Roman"/>
                <w:b/>
                <w:bCs/>
                <w:color w:val="000000"/>
                <w:sz w:val="20"/>
                <w:szCs w:val="24"/>
              </w:rPr>
            </w:pPr>
            <w:r w:rsidRPr="00DF3F86">
              <w:rPr>
                <w:rFonts w:eastAsia="Times New Roman"/>
                <w:b/>
                <w:bCs/>
                <w:color w:val="000000"/>
                <w:sz w:val="20"/>
                <w:szCs w:val="24"/>
              </w:rPr>
              <w:t>Cs</w:t>
            </w:r>
          </w:p>
        </w:tc>
        <w:tc>
          <w:tcPr>
            <w:tcW w:w="576" w:type="dxa"/>
            <w:tcBorders>
              <w:top w:val="nil"/>
              <w:left w:val="nil"/>
              <w:bottom w:val="single" w:sz="4" w:space="0" w:color="auto"/>
              <w:right w:val="nil"/>
            </w:tcBorders>
            <w:shd w:val="clear" w:color="auto" w:fill="auto"/>
            <w:noWrap/>
            <w:vAlign w:val="bottom"/>
            <w:hideMark/>
          </w:tcPr>
          <w:p w14:paraId="081D9FAF" w14:textId="77777777" w:rsidR="00DF3F86" w:rsidRPr="00DF3F86" w:rsidRDefault="00DF3F86" w:rsidP="00DF3F86">
            <w:pPr>
              <w:spacing w:before="0" w:after="0" w:line="240" w:lineRule="auto"/>
              <w:jc w:val="center"/>
              <w:rPr>
                <w:rFonts w:eastAsia="Times New Roman"/>
                <w:b/>
                <w:bCs/>
                <w:color w:val="000000"/>
                <w:sz w:val="20"/>
                <w:szCs w:val="24"/>
              </w:rPr>
            </w:pPr>
            <w:r w:rsidRPr="00DF3F86">
              <w:rPr>
                <w:rFonts w:eastAsia="Times New Roman"/>
                <w:b/>
                <w:bCs/>
                <w:color w:val="000000"/>
                <w:sz w:val="20"/>
                <w:szCs w:val="24"/>
              </w:rPr>
              <w:t>3</w:t>
            </w:r>
          </w:p>
        </w:tc>
        <w:tc>
          <w:tcPr>
            <w:tcW w:w="576" w:type="dxa"/>
            <w:tcBorders>
              <w:top w:val="nil"/>
              <w:left w:val="nil"/>
              <w:bottom w:val="single" w:sz="4" w:space="0" w:color="auto"/>
              <w:right w:val="nil"/>
            </w:tcBorders>
            <w:shd w:val="clear" w:color="auto" w:fill="auto"/>
            <w:noWrap/>
            <w:vAlign w:val="bottom"/>
            <w:hideMark/>
          </w:tcPr>
          <w:p w14:paraId="7383BD9C" w14:textId="77777777" w:rsidR="00DF3F86" w:rsidRPr="00DF3F86" w:rsidRDefault="00DF3F86" w:rsidP="00DF3F86">
            <w:pPr>
              <w:spacing w:before="0" w:after="0" w:line="240" w:lineRule="auto"/>
              <w:jc w:val="center"/>
              <w:rPr>
                <w:rFonts w:eastAsia="Times New Roman"/>
                <w:b/>
                <w:bCs/>
                <w:color w:val="000000"/>
                <w:sz w:val="20"/>
                <w:szCs w:val="24"/>
              </w:rPr>
            </w:pPr>
            <w:r w:rsidRPr="00DF3F86">
              <w:rPr>
                <w:rFonts w:eastAsia="Times New Roman"/>
                <w:b/>
                <w:bCs/>
                <w:color w:val="000000"/>
                <w:sz w:val="20"/>
                <w:szCs w:val="24"/>
              </w:rPr>
              <w:t>2</w:t>
            </w:r>
          </w:p>
        </w:tc>
        <w:tc>
          <w:tcPr>
            <w:tcW w:w="576" w:type="dxa"/>
            <w:tcBorders>
              <w:top w:val="nil"/>
              <w:left w:val="nil"/>
              <w:bottom w:val="single" w:sz="4" w:space="0" w:color="auto"/>
              <w:right w:val="nil"/>
            </w:tcBorders>
            <w:shd w:val="clear" w:color="auto" w:fill="auto"/>
            <w:noWrap/>
            <w:vAlign w:val="bottom"/>
            <w:hideMark/>
          </w:tcPr>
          <w:p w14:paraId="200DFCFD" w14:textId="77777777" w:rsidR="00DF3F86" w:rsidRPr="00DF3F86" w:rsidRDefault="00DF3F86" w:rsidP="00DF3F86">
            <w:pPr>
              <w:spacing w:before="0" w:after="0" w:line="240" w:lineRule="auto"/>
              <w:jc w:val="center"/>
              <w:rPr>
                <w:rFonts w:eastAsia="Times New Roman"/>
                <w:b/>
                <w:bCs/>
                <w:color w:val="000000"/>
                <w:sz w:val="20"/>
                <w:szCs w:val="24"/>
              </w:rPr>
            </w:pPr>
            <w:r w:rsidRPr="00DF3F86">
              <w:rPr>
                <w:rFonts w:eastAsia="Times New Roman"/>
                <w:b/>
                <w:bCs/>
                <w:color w:val="000000"/>
                <w:sz w:val="20"/>
                <w:szCs w:val="24"/>
              </w:rPr>
              <w:t>1</w:t>
            </w:r>
          </w:p>
        </w:tc>
        <w:tc>
          <w:tcPr>
            <w:tcW w:w="266" w:type="dxa"/>
            <w:tcBorders>
              <w:top w:val="nil"/>
              <w:left w:val="nil"/>
              <w:bottom w:val="single" w:sz="4" w:space="0" w:color="auto"/>
              <w:right w:val="nil"/>
            </w:tcBorders>
            <w:shd w:val="clear" w:color="auto" w:fill="auto"/>
            <w:noWrap/>
            <w:vAlign w:val="bottom"/>
            <w:hideMark/>
          </w:tcPr>
          <w:p w14:paraId="53AF3E5D" w14:textId="77777777" w:rsidR="00DF3F86" w:rsidRPr="00DF3F86" w:rsidRDefault="00DF3F86" w:rsidP="00DF3F86">
            <w:pPr>
              <w:spacing w:before="0" w:after="0" w:line="240" w:lineRule="auto"/>
              <w:rPr>
                <w:rFonts w:eastAsia="Times New Roman"/>
                <w:b/>
                <w:bCs/>
                <w:color w:val="000000"/>
                <w:sz w:val="20"/>
                <w:szCs w:val="24"/>
              </w:rPr>
            </w:pPr>
            <w:r w:rsidRPr="00DF3F86">
              <w:rPr>
                <w:rFonts w:eastAsia="Times New Roman"/>
                <w:b/>
                <w:bCs/>
                <w:color w:val="000000"/>
                <w:sz w:val="20"/>
                <w:szCs w:val="24"/>
              </w:rPr>
              <w:t> </w:t>
            </w:r>
          </w:p>
        </w:tc>
        <w:tc>
          <w:tcPr>
            <w:tcW w:w="531" w:type="dxa"/>
            <w:tcBorders>
              <w:top w:val="nil"/>
              <w:left w:val="nil"/>
              <w:bottom w:val="single" w:sz="4" w:space="0" w:color="auto"/>
              <w:right w:val="nil"/>
            </w:tcBorders>
            <w:shd w:val="clear" w:color="auto" w:fill="auto"/>
            <w:noWrap/>
            <w:vAlign w:val="bottom"/>
            <w:hideMark/>
          </w:tcPr>
          <w:p w14:paraId="04F8686E" w14:textId="77777777" w:rsidR="00DF3F86" w:rsidRPr="00DF3F86" w:rsidRDefault="00DF3F86" w:rsidP="00DF3F86">
            <w:pPr>
              <w:spacing w:before="0" w:after="0" w:line="240" w:lineRule="auto"/>
              <w:jc w:val="center"/>
              <w:rPr>
                <w:rFonts w:eastAsia="Times New Roman"/>
                <w:b/>
                <w:bCs/>
                <w:color w:val="000000"/>
                <w:sz w:val="20"/>
                <w:szCs w:val="24"/>
              </w:rPr>
            </w:pPr>
            <w:r w:rsidRPr="00DF3F86">
              <w:rPr>
                <w:rFonts w:eastAsia="Times New Roman"/>
                <w:b/>
                <w:bCs/>
                <w:color w:val="000000"/>
                <w:sz w:val="20"/>
                <w:szCs w:val="24"/>
              </w:rPr>
              <w:t>Cs</w:t>
            </w:r>
          </w:p>
        </w:tc>
        <w:tc>
          <w:tcPr>
            <w:tcW w:w="576" w:type="dxa"/>
            <w:tcBorders>
              <w:top w:val="nil"/>
              <w:left w:val="nil"/>
              <w:bottom w:val="single" w:sz="4" w:space="0" w:color="auto"/>
              <w:right w:val="nil"/>
            </w:tcBorders>
            <w:shd w:val="clear" w:color="auto" w:fill="auto"/>
            <w:noWrap/>
            <w:vAlign w:val="bottom"/>
            <w:hideMark/>
          </w:tcPr>
          <w:p w14:paraId="48CAF3FD" w14:textId="77777777" w:rsidR="00DF3F86" w:rsidRPr="00DF3F86" w:rsidRDefault="00DF3F86" w:rsidP="00DF3F86">
            <w:pPr>
              <w:spacing w:before="0" w:after="0" w:line="240" w:lineRule="auto"/>
              <w:jc w:val="center"/>
              <w:rPr>
                <w:rFonts w:eastAsia="Times New Roman"/>
                <w:b/>
                <w:bCs/>
                <w:color w:val="000000"/>
                <w:sz w:val="20"/>
                <w:szCs w:val="24"/>
              </w:rPr>
            </w:pPr>
            <w:r w:rsidRPr="00DF3F86">
              <w:rPr>
                <w:rFonts w:eastAsia="Times New Roman"/>
                <w:b/>
                <w:bCs/>
                <w:color w:val="000000"/>
                <w:sz w:val="20"/>
                <w:szCs w:val="24"/>
              </w:rPr>
              <w:t>3</w:t>
            </w:r>
          </w:p>
        </w:tc>
        <w:tc>
          <w:tcPr>
            <w:tcW w:w="576" w:type="dxa"/>
            <w:tcBorders>
              <w:top w:val="nil"/>
              <w:left w:val="nil"/>
              <w:bottom w:val="single" w:sz="4" w:space="0" w:color="auto"/>
              <w:right w:val="nil"/>
            </w:tcBorders>
            <w:shd w:val="clear" w:color="auto" w:fill="auto"/>
            <w:noWrap/>
            <w:vAlign w:val="bottom"/>
            <w:hideMark/>
          </w:tcPr>
          <w:p w14:paraId="2CFF1B4F" w14:textId="77777777" w:rsidR="00DF3F86" w:rsidRPr="00DF3F86" w:rsidRDefault="00DF3F86" w:rsidP="00DF3F86">
            <w:pPr>
              <w:spacing w:before="0" w:after="0" w:line="240" w:lineRule="auto"/>
              <w:jc w:val="center"/>
              <w:rPr>
                <w:rFonts w:eastAsia="Times New Roman"/>
                <w:b/>
                <w:bCs/>
                <w:color w:val="000000"/>
                <w:sz w:val="20"/>
                <w:szCs w:val="24"/>
              </w:rPr>
            </w:pPr>
            <w:r w:rsidRPr="00DF3F86">
              <w:rPr>
                <w:rFonts w:eastAsia="Times New Roman"/>
                <w:b/>
                <w:bCs/>
                <w:color w:val="000000"/>
                <w:sz w:val="20"/>
                <w:szCs w:val="24"/>
              </w:rPr>
              <w:t>2</w:t>
            </w:r>
          </w:p>
        </w:tc>
        <w:tc>
          <w:tcPr>
            <w:tcW w:w="576" w:type="dxa"/>
            <w:tcBorders>
              <w:top w:val="nil"/>
              <w:left w:val="nil"/>
              <w:bottom w:val="single" w:sz="4" w:space="0" w:color="auto"/>
              <w:right w:val="nil"/>
            </w:tcBorders>
            <w:shd w:val="clear" w:color="auto" w:fill="auto"/>
            <w:noWrap/>
            <w:vAlign w:val="bottom"/>
            <w:hideMark/>
          </w:tcPr>
          <w:p w14:paraId="51C77CD7" w14:textId="77777777" w:rsidR="00DF3F86" w:rsidRPr="00DF3F86" w:rsidRDefault="00DF3F86" w:rsidP="00DF3F86">
            <w:pPr>
              <w:spacing w:before="0" w:after="0" w:line="240" w:lineRule="auto"/>
              <w:jc w:val="center"/>
              <w:rPr>
                <w:rFonts w:eastAsia="Times New Roman"/>
                <w:b/>
                <w:bCs/>
                <w:color w:val="000000"/>
                <w:sz w:val="20"/>
                <w:szCs w:val="24"/>
              </w:rPr>
            </w:pPr>
            <w:r w:rsidRPr="00DF3F86">
              <w:rPr>
                <w:rFonts w:eastAsia="Times New Roman"/>
                <w:b/>
                <w:bCs/>
                <w:color w:val="000000"/>
                <w:sz w:val="20"/>
                <w:szCs w:val="24"/>
              </w:rPr>
              <w:t>1</w:t>
            </w:r>
          </w:p>
        </w:tc>
        <w:tc>
          <w:tcPr>
            <w:tcW w:w="266" w:type="dxa"/>
            <w:tcBorders>
              <w:top w:val="nil"/>
              <w:left w:val="nil"/>
              <w:bottom w:val="single" w:sz="4" w:space="0" w:color="auto"/>
              <w:right w:val="nil"/>
            </w:tcBorders>
            <w:shd w:val="clear" w:color="auto" w:fill="auto"/>
            <w:noWrap/>
            <w:vAlign w:val="bottom"/>
            <w:hideMark/>
          </w:tcPr>
          <w:p w14:paraId="6D0D2775" w14:textId="77777777" w:rsidR="00DF3F86" w:rsidRPr="00DF3F86" w:rsidRDefault="00DF3F86" w:rsidP="00DF3F86">
            <w:pPr>
              <w:spacing w:before="0" w:after="0" w:line="240" w:lineRule="auto"/>
              <w:rPr>
                <w:rFonts w:eastAsia="Times New Roman"/>
                <w:color w:val="000000"/>
                <w:sz w:val="20"/>
              </w:rPr>
            </w:pPr>
            <w:r w:rsidRPr="00DF3F86">
              <w:rPr>
                <w:rFonts w:eastAsia="Times New Roman"/>
                <w:color w:val="000000"/>
                <w:sz w:val="20"/>
              </w:rPr>
              <w:t> </w:t>
            </w:r>
          </w:p>
        </w:tc>
        <w:tc>
          <w:tcPr>
            <w:tcW w:w="4283" w:type="dxa"/>
            <w:tcBorders>
              <w:top w:val="nil"/>
              <w:left w:val="nil"/>
              <w:bottom w:val="single" w:sz="4" w:space="0" w:color="auto"/>
              <w:right w:val="nil"/>
            </w:tcBorders>
            <w:shd w:val="clear" w:color="auto" w:fill="auto"/>
            <w:noWrap/>
            <w:vAlign w:val="bottom"/>
            <w:hideMark/>
          </w:tcPr>
          <w:p w14:paraId="2CAFAE2A" w14:textId="77777777" w:rsidR="00DF3F86" w:rsidRPr="00DF3F86" w:rsidRDefault="00DF3F86" w:rsidP="00DF3F86">
            <w:pPr>
              <w:spacing w:before="0" w:after="0" w:line="240" w:lineRule="auto"/>
              <w:rPr>
                <w:rFonts w:eastAsia="Times New Roman"/>
                <w:color w:val="000000"/>
                <w:sz w:val="22"/>
              </w:rPr>
            </w:pPr>
            <w:r w:rsidRPr="00DF3F86">
              <w:rPr>
                <w:rFonts w:eastAsia="Times New Roman"/>
                <w:color w:val="000000"/>
                <w:sz w:val="22"/>
              </w:rPr>
              <w:t> </w:t>
            </w:r>
          </w:p>
        </w:tc>
      </w:tr>
      <w:tr w:rsidR="00DF3F86" w:rsidRPr="00DF3F86" w14:paraId="1B412D7C" w14:textId="77777777" w:rsidTr="00DF3F86">
        <w:trPr>
          <w:trHeight w:val="315"/>
        </w:trPr>
        <w:tc>
          <w:tcPr>
            <w:tcW w:w="746" w:type="dxa"/>
            <w:tcBorders>
              <w:top w:val="nil"/>
              <w:left w:val="nil"/>
              <w:bottom w:val="nil"/>
              <w:right w:val="nil"/>
            </w:tcBorders>
            <w:shd w:val="clear" w:color="auto" w:fill="auto"/>
            <w:noWrap/>
            <w:vAlign w:val="bottom"/>
            <w:hideMark/>
          </w:tcPr>
          <w:p w14:paraId="60288AF2"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0E676106" w14:textId="77777777" w:rsidR="00DF3F86" w:rsidRPr="00DF3F86" w:rsidRDefault="00DF3F86" w:rsidP="00DF3F86">
            <w:pPr>
              <w:spacing w:before="0" w:after="0" w:line="240" w:lineRule="auto"/>
              <w:jc w:val="center"/>
              <w:rPr>
                <w:rFonts w:eastAsia="Times New Roman"/>
                <w:b/>
                <w:bCs/>
                <w:sz w:val="18"/>
                <w:szCs w:val="18"/>
              </w:rPr>
            </w:pPr>
            <w:r w:rsidRPr="00DF3F86">
              <w:rPr>
                <w:rFonts w:eastAsia="Times New Roman"/>
                <w:b/>
                <w:bCs/>
                <w:sz w:val="18"/>
                <w:szCs w:val="18"/>
              </w:rPr>
              <w:t>1.0</w:t>
            </w:r>
          </w:p>
        </w:tc>
        <w:tc>
          <w:tcPr>
            <w:tcW w:w="576" w:type="dxa"/>
            <w:tcBorders>
              <w:top w:val="nil"/>
              <w:left w:val="nil"/>
              <w:bottom w:val="nil"/>
              <w:right w:val="nil"/>
            </w:tcBorders>
            <w:shd w:val="clear" w:color="auto" w:fill="auto"/>
            <w:noWrap/>
            <w:vAlign w:val="bottom"/>
            <w:hideMark/>
          </w:tcPr>
          <w:p w14:paraId="2F01E75E"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23%</w:t>
            </w:r>
          </w:p>
        </w:tc>
        <w:tc>
          <w:tcPr>
            <w:tcW w:w="576" w:type="dxa"/>
            <w:tcBorders>
              <w:top w:val="nil"/>
              <w:left w:val="nil"/>
              <w:bottom w:val="nil"/>
              <w:right w:val="nil"/>
            </w:tcBorders>
            <w:shd w:val="clear" w:color="auto" w:fill="auto"/>
            <w:noWrap/>
            <w:vAlign w:val="bottom"/>
            <w:hideMark/>
          </w:tcPr>
          <w:p w14:paraId="7715BFDC"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50%</w:t>
            </w:r>
          </w:p>
        </w:tc>
        <w:tc>
          <w:tcPr>
            <w:tcW w:w="576" w:type="dxa"/>
            <w:tcBorders>
              <w:top w:val="nil"/>
              <w:left w:val="nil"/>
              <w:bottom w:val="nil"/>
              <w:right w:val="nil"/>
            </w:tcBorders>
            <w:shd w:val="clear" w:color="auto" w:fill="auto"/>
            <w:noWrap/>
            <w:vAlign w:val="bottom"/>
            <w:hideMark/>
          </w:tcPr>
          <w:p w14:paraId="186E5C67" w14:textId="77777777" w:rsidR="00DF3F86" w:rsidRPr="00DF3F86" w:rsidRDefault="00DF3F86" w:rsidP="00DF3F86">
            <w:pPr>
              <w:spacing w:before="0" w:after="0" w:line="240" w:lineRule="auto"/>
              <w:jc w:val="right"/>
              <w:rPr>
                <w:rFonts w:eastAsia="Times New Roman"/>
                <w:b/>
                <w:bCs/>
                <w:sz w:val="18"/>
                <w:szCs w:val="18"/>
                <w:highlight w:val="yellow"/>
              </w:rPr>
            </w:pPr>
            <w:r w:rsidRPr="00DF3F86">
              <w:rPr>
                <w:rFonts w:eastAsia="Times New Roman"/>
                <w:b/>
                <w:bCs/>
                <w:sz w:val="18"/>
                <w:szCs w:val="18"/>
                <w:highlight w:val="yellow"/>
              </w:rPr>
              <w:t>26%</w:t>
            </w:r>
          </w:p>
        </w:tc>
        <w:tc>
          <w:tcPr>
            <w:tcW w:w="266" w:type="dxa"/>
            <w:tcBorders>
              <w:top w:val="nil"/>
              <w:left w:val="nil"/>
              <w:bottom w:val="nil"/>
              <w:right w:val="nil"/>
            </w:tcBorders>
            <w:shd w:val="clear" w:color="auto" w:fill="auto"/>
            <w:noWrap/>
            <w:vAlign w:val="bottom"/>
            <w:hideMark/>
          </w:tcPr>
          <w:p w14:paraId="5CDB8A19" w14:textId="77777777" w:rsidR="00DF3F86" w:rsidRPr="00DF3F86" w:rsidRDefault="00DF3F86" w:rsidP="00DF3F86">
            <w:pPr>
              <w:spacing w:before="0" w:after="0" w:line="240" w:lineRule="auto"/>
              <w:rPr>
                <w:rFonts w:eastAsia="Times New Roman"/>
                <w:b/>
                <w:bCs/>
                <w:sz w:val="18"/>
                <w:szCs w:val="18"/>
              </w:rPr>
            </w:pPr>
          </w:p>
        </w:tc>
        <w:tc>
          <w:tcPr>
            <w:tcW w:w="531" w:type="dxa"/>
            <w:tcBorders>
              <w:top w:val="nil"/>
              <w:left w:val="nil"/>
              <w:bottom w:val="nil"/>
              <w:right w:val="nil"/>
            </w:tcBorders>
            <w:shd w:val="clear" w:color="auto" w:fill="auto"/>
            <w:noWrap/>
            <w:vAlign w:val="bottom"/>
            <w:hideMark/>
          </w:tcPr>
          <w:p w14:paraId="6D4DC123" w14:textId="77777777" w:rsidR="00DF3F86" w:rsidRPr="00DF3F86" w:rsidRDefault="00DF3F86" w:rsidP="00DF3F86">
            <w:pPr>
              <w:spacing w:before="0" w:after="0" w:line="240" w:lineRule="auto"/>
              <w:jc w:val="center"/>
              <w:rPr>
                <w:rFonts w:eastAsia="Times New Roman"/>
                <w:b/>
                <w:bCs/>
                <w:sz w:val="18"/>
                <w:szCs w:val="18"/>
              </w:rPr>
            </w:pPr>
            <w:r w:rsidRPr="00DF3F86">
              <w:rPr>
                <w:rFonts w:eastAsia="Times New Roman"/>
                <w:b/>
                <w:bCs/>
                <w:sz w:val="18"/>
                <w:szCs w:val="18"/>
              </w:rPr>
              <w:t>2.0</w:t>
            </w:r>
          </w:p>
        </w:tc>
        <w:tc>
          <w:tcPr>
            <w:tcW w:w="576" w:type="dxa"/>
            <w:tcBorders>
              <w:top w:val="nil"/>
              <w:left w:val="nil"/>
              <w:bottom w:val="nil"/>
              <w:right w:val="nil"/>
            </w:tcBorders>
            <w:shd w:val="clear" w:color="auto" w:fill="auto"/>
            <w:noWrap/>
            <w:vAlign w:val="bottom"/>
            <w:hideMark/>
          </w:tcPr>
          <w:p w14:paraId="5AF756AC"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36%</w:t>
            </w:r>
          </w:p>
        </w:tc>
        <w:tc>
          <w:tcPr>
            <w:tcW w:w="576" w:type="dxa"/>
            <w:tcBorders>
              <w:top w:val="nil"/>
              <w:left w:val="nil"/>
              <w:bottom w:val="nil"/>
              <w:right w:val="nil"/>
            </w:tcBorders>
            <w:shd w:val="clear" w:color="auto" w:fill="auto"/>
            <w:noWrap/>
            <w:vAlign w:val="bottom"/>
            <w:hideMark/>
          </w:tcPr>
          <w:p w14:paraId="5DC4E12B"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57%</w:t>
            </w:r>
          </w:p>
        </w:tc>
        <w:tc>
          <w:tcPr>
            <w:tcW w:w="576" w:type="dxa"/>
            <w:tcBorders>
              <w:top w:val="nil"/>
              <w:left w:val="nil"/>
              <w:bottom w:val="nil"/>
              <w:right w:val="nil"/>
            </w:tcBorders>
            <w:shd w:val="clear" w:color="auto" w:fill="auto"/>
            <w:noWrap/>
            <w:vAlign w:val="bottom"/>
            <w:hideMark/>
          </w:tcPr>
          <w:p w14:paraId="64FF22E8"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8%</w:t>
            </w:r>
          </w:p>
        </w:tc>
        <w:tc>
          <w:tcPr>
            <w:tcW w:w="266" w:type="dxa"/>
            <w:tcBorders>
              <w:top w:val="nil"/>
              <w:left w:val="nil"/>
              <w:bottom w:val="nil"/>
              <w:right w:val="nil"/>
            </w:tcBorders>
            <w:shd w:val="clear" w:color="auto" w:fill="auto"/>
            <w:noWrap/>
            <w:vAlign w:val="bottom"/>
            <w:hideMark/>
          </w:tcPr>
          <w:p w14:paraId="2AEB1AE3" w14:textId="77777777" w:rsidR="00DF3F86" w:rsidRPr="00DF3F86" w:rsidRDefault="00DF3F86" w:rsidP="00DF3F86">
            <w:pPr>
              <w:spacing w:before="0" w:after="0" w:line="240" w:lineRule="auto"/>
              <w:rPr>
                <w:rFonts w:eastAsia="Times New Roman"/>
                <w:b/>
                <w:bCs/>
                <w:sz w:val="18"/>
                <w:szCs w:val="18"/>
              </w:rPr>
            </w:pPr>
          </w:p>
        </w:tc>
        <w:tc>
          <w:tcPr>
            <w:tcW w:w="4283" w:type="dxa"/>
            <w:tcBorders>
              <w:top w:val="nil"/>
              <w:left w:val="nil"/>
              <w:bottom w:val="nil"/>
              <w:right w:val="nil"/>
            </w:tcBorders>
            <w:shd w:val="clear" w:color="auto" w:fill="auto"/>
            <w:noWrap/>
            <w:vAlign w:val="bottom"/>
            <w:hideMark/>
          </w:tcPr>
          <w:p w14:paraId="187352EE"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Percentages for all Dispositions</w:t>
            </w:r>
          </w:p>
        </w:tc>
      </w:tr>
      <w:tr w:rsidR="00DF3F86" w:rsidRPr="00DF3F86" w14:paraId="3C8204AB" w14:textId="77777777" w:rsidTr="00DF3F86">
        <w:trPr>
          <w:trHeight w:val="315"/>
        </w:trPr>
        <w:tc>
          <w:tcPr>
            <w:tcW w:w="746" w:type="dxa"/>
            <w:tcBorders>
              <w:top w:val="nil"/>
              <w:left w:val="nil"/>
              <w:bottom w:val="nil"/>
              <w:right w:val="nil"/>
            </w:tcBorders>
            <w:shd w:val="clear" w:color="auto" w:fill="auto"/>
            <w:noWrap/>
            <w:vAlign w:val="bottom"/>
            <w:hideMark/>
          </w:tcPr>
          <w:p w14:paraId="2E7AAA4A"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32E3B439" w14:textId="77777777" w:rsidR="00DF3F86" w:rsidRPr="00DF3F86" w:rsidRDefault="00DF3F86" w:rsidP="00DF3F86">
            <w:pPr>
              <w:spacing w:before="0" w:after="0" w:line="240" w:lineRule="auto"/>
              <w:jc w:val="center"/>
              <w:rPr>
                <w:rFonts w:eastAsia="Times New Roman"/>
                <w:b/>
                <w:bCs/>
                <w:sz w:val="18"/>
                <w:szCs w:val="18"/>
              </w:rPr>
            </w:pPr>
            <w:r w:rsidRPr="00DF3F86">
              <w:rPr>
                <w:rFonts w:eastAsia="Times New Roman"/>
                <w:b/>
                <w:bCs/>
                <w:sz w:val="18"/>
                <w:szCs w:val="18"/>
              </w:rPr>
              <w:t>1.1</w:t>
            </w:r>
          </w:p>
        </w:tc>
        <w:tc>
          <w:tcPr>
            <w:tcW w:w="576" w:type="dxa"/>
            <w:tcBorders>
              <w:top w:val="nil"/>
              <w:left w:val="nil"/>
              <w:bottom w:val="nil"/>
              <w:right w:val="nil"/>
            </w:tcBorders>
            <w:shd w:val="clear" w:color="auto" w:fill="auto"/>
            <w:noWrap/>
            <w:vAlign w:val="bottom"/>
            <w:hideMark/>
          </w:tcPr>
          <w:p w14:paraId="6485B24A"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25%</w:t>
            </w:r>
          </w:p>
        </w:tc>
        <w:tc>
          <w:tcPr>
            <w:tcW w:w="576" w:type="dxa"/>
            <w:tcBorders>
              <w:top w:val="nil"/>
              <w:left w:val="nil"/>
              <w:bottom w:val="nil"/>
              <w:right w:val="nil"/>
            </w:tcBorders>
            <w:shd w:val="clear" w:color="auto" w:fill="auto"/>
            <w:noWrap/>
            <w:vAlign w:val="bottom"/>
            <w:hideMark/>
          </w:tcPr>
          <w:p w14:paraId="7815BAF0"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59%</w:t>
            </w:r>
          </w:p>
        </w:tc>
        <w:tc>
          <w:tcPr>
            <w:tcW w:w="576" w:type="dxa"/>
            <w:tcBorders>
              <w:top w:val="nil"/>
              <w:left w:val="nil"/>
              <w:bottom w:val="nil"/>
              <w:right w:val="nil"/>
            </w:tcBorders>
            <w:shd w:val="clear" w:color="auto" w:fill="auto"/>
            <w:noWrap/>
            <w:vAlign w:val="bottom"/>
            <w:hideMark/>
          </w:tcPr>
          <w:p w14:paraId="74B18544" w14:textId="77777777" w:rsidR="00DF3F86" w:rsidRPr="00DF3F86" w:rsidRDefault="00DF3F86" w:rsidP="00DF3F86">
            <w:pPr>
              <w:spacing w:before="0" w:after="0" w:line="240" w:lineRule="auto"/>
              <w:jc w:val="right"/>
              <w:rPr>
                <w:rFonts w:eastAsia="Times New Roman"/>
                <w:b/>
                <w:bCs/>
                <w:sz w:val="18"/>
                <w:szCs w:val="18"/>
                <w:highlight w:val="yellow"/>
              </w:rPr>
            </w:pPr>
            <w:r w:rsidRPr="00DF3F86">
              <w:rPr>
                <w:rFonts w:eastAsia="Times New Roman"/>
                <w:b/>
                <w:bCs/>
                <w:sz w:val="18"/>
                <w:szCs w:val="18"/>
                <w:highlight w:val="yellow"/>
              </w:rPr>
              <w:t>16%</w:t>
            </w:r>
          </w:p>
        </w:tc>
        <w:tc>
          <w:tcPr>
            <w:tcW w:w="266" w:type="dxa"/>
            <w:tcBorders>
              <w:top w:val="nil"/>
              <w:left w:val="nil"/>
              <w:bottom w:val="nil"/>
              <w:right w:val="nil"/>
            </w:tcBorders>
            <w:shd w:val="clear" w:color="auto" w:fill="auto"/>
            <w:noWrap/>
            <w:vAlign w:val="bottom"/>
            <w:hideMark/>
          </w:tcPr>
          <w:p w14:paraId="59527A1D" w14:textId="77777777" w:rsidR="00DF3F86" w:rsidRPr="00DF3F86" w:rsidRDefault="00DF3F86" w:rsidP="00DF3F86">
            <w:pPr>
              <w:spacing w:before="0" w:after="0" w:line="240" w:lineRule="auto"/>
              <w:rPr>
                <w:rFonts w:eastAsia="Times New Roman"/>
                <w:b/>
                <w:bCs/>
                <w:sz w:val="18"/>
                <w:szCs w:val="18"/>
              </w:rPr>
            </w:pPr>
          </w:p>
        </w:tc>
        <w:tc>
          <w:tcPr>
            <w:tcW w:w="531" w:type="dxa"/>
            <w:tcBorders>
              <w:top w:val="nil"/>
              <w:left w:val="nil"/>
              <w:bottom w:val="nil"/>
              <w:right w:val="nil"/>
            </w:tcBorders>
            <w:shd w:val="clear" w:color="auto" w:fill="auto"/>
            <w:noWrap/>
            <w:vAlign w:val="bottom"/>
            <w:hideMark/>
          </w:tcPr>
          <w:p w14:paraId="4C23807A" w14:textId="77777777" w:rsidR="00DF3F86" w:rsidRPr="00DF3F86" w:rsidRDefault="00DF3F86" w:rsidP="00DF3F86">
            <w:pPr>
              <w:spacing w:before="0" w:after="0" w:line="240" w:lineRule="auto"/>
              <w:jc w:val="center"/>
              <w:rPr>
                <w:rFonts w:eastAsia="Times New Roman"/>
                <w:b/>
                <w:bCs/>
                <w:sz w:val="18"/>
                <w:szCs w:val="18"/>
              </w:rPr>
            </w:pPr>
            <w:r w:rsidRPr="00DF3F86">
              <w:rPr>
                <w:rFonts w:eastAsia="Times New Roman"/>
                <w:b/>
                <w:bCs/>
                <w:sz w:val="18"/>
                <w:szCs w:val="18"/>
              </w:rPr>
              <w:t>2.1</w:t>
            </w:r>
          </w:p>
        </w:tc>
        <w:tc>
          <w:tcPr>
            <w:tcW w:w="576" w:type="dxa"/>
            <w:tcBorders>
              <w:top w:val="nil"/>
              <w:left w:val="nil"/>
              <w:bottom w:val="nil"/>
              <w:right w:val="nil"/>
            </w:tcBorders>
            <w:shd w:val="clear" w:color="auto" w:fill="auto"/>
            <w:noWrap/>
            <w:vAlign w:val="bottom"/>
            <w:hideMark/>
          </w:tcPr>
          <w:p w14:paraId="0904AF47"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42%</w:t>
            </w:r>
          </w:p>
        </w:tc>
        <w:tc>
          <w:tcPr>
            <w:tcW w:w="576" w:type="dxa"/>
            <w:tcBorders>
              <w:top w:val="nil"/>
              <w:left w:val="nil"/>
              <w:bottom w:val="nil"/>
              <w:right w:val="nil"/>
            </w:tcBorders>
            <w:shd w:val="clear" w:color="auto" w:fill="auto"/>
            <w:noWrap/>
            <w:vAlign w:val="bottom"/>
            <w:hideMark/>
          </w:tcPr>
          <w:p w14:paraId="13C4D9F0"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51%</w:t>
            </w:r>
          </w:p>
        </w:tc>
        <w:tc>
          <w:tcPr>
            <w:tcW w:w="576" w:type="dxa"/>
            <w:tcBorders>
              <w:top w:val="nil"/>
              <w:left w:val="nil"/>
              <w:bottom w:val="nil"/>
              <w:right w:val="nil"/>
            </w:tcBorders>
            <w:shd w:val="clear" w:color="auto" w:fill="auto"/>
            <w:noWrap/>
            <w:vAlign w:val="bottom"/>
            <w:hideMark/>
          </w:tcPr>
          <w:p w14:paraId="01E986EF"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7%</w:t>
            </w:r>
          </w:p>
        </w:tc>
        <w:tc>
          <w:tcPr>
            <w:tcW w:w="266" w:type="dxa"/>
            <w:tcBorders>
              <w:top w:val="nil"/>
              <w:left w:val="nil"/>
              <w:bottom w:val="nil"/>
              <w:right w:val="nil"/>
            </w:tcBorders>
            <w:shd w:val="clear" w:color="auto" w:fill="auto"/>
            <w:noWrap/>
            <w:vAlign w:val="bottom"/>
            <w:hideMark/>
          </w:tcPr>
          <w:p w14:paraId="76EA41E2" w14:textId="77777777" w:rsidR="00DF3F86" w:rsidRPr="00DF3F86" w:rsidRDefault="00DF3F86" w:rsidP="00DF3F86">
            <w:pPr>
              <w:spacing w:before="0" w:after="0" w:line="240" w:lineRule="auto"/>
              <w:rPr>
                <w:rFonts w:eastAsia="Times New Roman"/>
                <w:b/>
                <w:bCs/>
                <w:sz w:val="18"/>
                <w:szCs w:val="18"/>
              </w:rPr>
            </w:pPr>
          </w:p>
        </w:tc>
        <w:tc>
          <w:tcPr>
            <w:tcW w:w="4283" w:type="dxa"/>
            <w:tcBorders>
              <w:top w:val="nil"/>
              <w:left w:val="nil"/>
              <w:bottom w:val="nil"/>
              <w:right w:val="nil"/>
            </w:tcBorders>
            <w:shd w:val="clear" w:color="auto" w:fill="auto"/>
            <w:noWrap/>
            <w:vAlign w:val="bottom"/>
            <w:hideMark/>
          </w:tcPr>
          <w:p w14:paraId="13EE6AC0" w14:textId="77777777" w:rsidR="00DF3F86" w:rsidRPr="00DF3F86" w:rsidRDefault="00DF3F86" w:rsidP="00DF3F86">
            <w:pPr>
              <w:spacing w:before="0" w:after="0" w:line="240" w:lineRule="auto"/>
              <w:rPr>
                <w:rFonts w:eastAsia="Times New Roman"/>
                <w:b/>
                <w:bCs/>
                <w:color w:val="000000"/>
                <w:sz w:val="18"/>
                <w:szCs w:val="18"/>
              </w:rPr>
            </w:pPr>
            <w:r w:rsidRPr="00DF3F86">
              <w:rPr>
                <w:rFonts w:eastAsia="Times New Roman"/>
                <w:b/>
                <w:bCs/>
                <w:color w:val="000000"/>
                <w:sz w:val="18"/>
                <w:szCs w:val="18"/>
              </w:rPr>
              <w:t>Culture</w:t>
            </w:r>
          </w:p>
        </w:tc>
      </w:tr>
      <w:tr w:rsidR="00DF3F86" w:rsidRPr="00DF3F86" w14:paraId="6C875981" w14:textId="77777777" w:rsidTr="00DF3F86">
        <w:trPr>
          <w:trHeight w:val="315"/>
        </w:trPr>
        <w:tc>
          <w:tcPr>
            <w:tcW w:w="746" w:type="dxa"/>
            <w:tcBorders>
              <w:top w:val="nil"/>
              <w:left w:val="nil"/>
              <w:bottom w:val="nil"/>
              <w:right w:val="nil"/>
            </w:tcBorders>
            <w:shd w:val="clear" w:color="auto" w:fill="auto"/>
            <w:noWrap/>
            <w:vAlign w:val="bottom"/>
            <w:hideMark/>
          </w:tcPr>
          <w:p w14:paraId="62F9E172"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274ABDA3"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1.1a</w:t>
            </w:r>
          </w:p>
        </w:tc>
        <w:tc>
          <w:tcPr>
            <w:tcW w:w="576" w:type="dxa"/>
            <w:tcBorders>
              <w:top w:val="nil"/>
              <w:left w:val="nil"/>
              <w:bottom w:val="nil"/>
              <w:right w:val="nil"/>
            </w:tcBorders>
            <w:shd w:val="clear" w:color="auto" w:fill="auto"/>
            <w:noWrap/>
            <w:vAlign w:val="bottom"/>
            <w:hideMark/>
          </w:tcPr>
          <w:p w14:paraId="7959ED47"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23%</w:t>
            </w:r>
          </w:p>
        </w:tc>
        <w:tc>
          <w:tcPr>
            <w:tcW w:w="576" w:type="dxa"/>
            <w:tcBorders>
              <w:top w:val="nil"/>
              <w:left w:val="nil"/>
              <w:bottom w:val="nil"/>
              <w:right w:val="nil"/>
            </w:tcBorders>
            <w:shd w:val="clear" w:color="auto" w:fill="auto"/>
            <w:noWrap/>
            <w:vAlign w:val="bottom"/>
            <w:hideMark/>
          </w:tcPr>
          <w:p w14:paraId="09F0BF8C"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60%</w:t>
            </w:r>
          </w:p>
        </w:tc>
        <w:tc>
          <w:tcPr>
            <w:tcW w:w="576" w:type="dxa"/>
            <w:tcBorders>
              <w:top w:val="nil"/>
              <w:left w:val="nil"/>
              <w:bottom w:val="nil"/>
              <w:right w:val="nil"/>
            </w:tcBorders>
            <w:shd w:val="clear" w:color="auto" w:fill="auto"/>
            <w:noWrap/>
            <w:vAlign w:val="bottom"/>
            <w:hideMark/>
          </w:tcPr>
          <w:p w14:paraId="73F10FFC"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17%</w:t>
            </w:r>
          </w:p>
        </w:tc>
        <w:tc>
          <w:tcPr>
            <w:tcW w:w="266" w:type="dxa"/>
            <w:tcBorders>
              <w:top w:val="nil"/>
              <w:left w:val="nil"/>
              <w:bottom w:val="nil"/>
              <w:right w:val="nil"/>
            </w:tcBorders>
            <w:shd w:val="clear" w:color="auto" w:fill="auto"/>
            <w:noWrap/>
            <w:vAlign w:val="bottom"/>
            <w:hideMark/>
          </w:tcPr>
          <w:p w14:paraId="01FF243F"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341E355E"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2.1a</w:t>
            </w:r>
          </w:p>
        </w:tc>
        <w:tc>
          <w:tcPr>
            <w:tcW w:w="576" w:type="dxa"/>
            <w:tcBorders>
              <w:top w:val="nil"/>
              <w:left w:val="nil"/>
              <w:bottom w:val="nil"/>
              <w:right w:val="nil"/>
            </w:tcBorders>
            <w:shd w:val="clear" w:color="auto" w:fill="auto"/>
            <w:noWrap/>
            <w:vAlign w:val="bottom"/>
            <w:hideMark/>
          </w:tcPr>
          <w:p w14:paraId="05F21EA3"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42%</w:t>
            </w:r>
          </w:p>
        </w:tc>
        <w:tc>
          <w:tcPr>
            <w:tcW w:w="576" w:type="dxa"/>
            <w:tcBorders>
              <w:top w:val="nil"/>
              <w:left w:val="nil"/>
              <w:bottom w:val="nil"/>
              <w:right w:val="nil"/>
            </w:tcBorders>
            <w:shd w:val="clear" w:color="auto" w:fill="auto"/>
            <w:noWrap/>
            <w:vAlign w:val="bottom"/>
            <w:hideMark/>
          </w:tcPr>
          <w:p w14:paraId="348E0245"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55%</w:t>
            </w:r>
          </w:p>
        </w:tc>
        <w:tc>
          <w:tcPr>
            <w:tcW w:w="576" w:type="dxa"/>
            <w:tcBorders>
              <w:top w:val="nil"/>
              <w:left w:val="nil"/>
              <w:bottom w:val="nil"/>
              <w:right w:val="nil"/>
            </w:tcBorders>
            <w:shd w:val="clear" w:color="auto" w:fill="auto"/>
            <w:noWrap/>
            <w:vAlign w:val="bottom"/>
            <w:hideMark/>
          </w:tcPr>
          <w:p w14:paraId="46F9ED9A"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w:t>
            </w:r>
          </w:p>
        </w:tc>
        <w:tc>
          <w:tcPr>
            <w:tcW w:w="266" w:type="dxa"/>
            <w:tcBorders>
              <w:top w:val="nil"/>
              <w:left w:val="nil"/>
              <w:bottom w:val="nil"/>
              <w:right w:val="nil"/>
            </w:tcBorders>
            <w:shd w:val="clear" w:color="auto" w:fill="auto"/>
            <w:noWrap/>
            <w:vAlign w:val="bottom"/>
            <w:hideMark/>
          </w:tcPr>
          <w:p w14:paraId="7D1D134B"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5F7A2918"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Sensitive to cultural diversity/perspective.</w:t>
            </w:r>
          </w:p>
        </w:tc>
      </w:tr>
      <w:tr w:rsidR="00DF3F86" w:rsidRPr="00DF3F86" w14:paraId="1BE48A2E" w14:textId="77777777" w:rsidTr="00DF3F86">
        <w:trPr>
          <w:trHeight w:val="315"/>
        </w:trPr>
        <w:tc>
          <w:tcPr>
            <w:tcW w:w="746" w:type="dxa"/>
            <w:tcBorders>
              <w:top w:val="nil"/>
              <w:left w:val="nil"/>
              <w:bottom w:val="nil"/>
              <w:right w:val="nil"/>
            </w:tcBorders>
            <w:shd w:val="clear" w:color="auto" w:fill="auto"/>
            <w:noWrap/>
            <w:vAlign w:val="bottom"/>
            <w:hideMark/>
          </w:tcPr>
          <w:p w14:paraId="1F819743"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4994A04F"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1.1b</w:t>
            </w:r>
          </w:p>
        </w:tc>
        <w:tc>
          <w:tcPr>
            <w:tcW w:w="576" w:type="dxa"/>
            <w:tcBorders>
              <w:top w:val="nil"/>
              <w:left w:val="nil"/>
              <w:bottom w:val="nil"/>
              <w:right w:val="nil"/>
            </w:tcBorders>
            <w:shd w:val="clear" w:color="auto" w:fill="auto"/>
            <w:noWrap/>
            <w:vAlign w:val="bottom"/>
            <w:hideMark/>
          </w:tcPr>
          <w:p w14:paraId="65D6CEAA"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30%</w:t>
            </w:r>
          </w:p>
        </w:tc>
        <w:tc>
          <w:tcPr>
            <w:tcW w:w="576" w:type="dxa"/>
            <w:tcBorders>
              <w:top w:val="nil"/>
              <w:left w:val="nil"/>
              <w:bottom w:val="nil"/>
              <w:right w:val="nil"/>
            </w:tcBorders>
            <w:shd w:val="clear" w:color="auto" w:fill="auto"/>
            <w:noWrap/>
            <w:vAlign w:val="bottom"/>
            <w:hideMark/>
          </w:tcPr>
          <w:p w14:paraId="7CC33309"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60%</w:t>
            </w:r>
          </w:p>
        </w:tc>
        <w:tc>
          <w:tcPr>
            <w:tcW w:w="576" w:type="dxa"/>
            <w:tcBorders>
              <w:top w:val="nil"/>
              <w:left w:val="nil"/>
              <w:bottom w:val="nil"/>
              <w:right w:val="nil"/>
            </w:tcBorders>
            <w:shd w:val="clear" w:color="auto" w:fill="auto"/>
            <w:noWrap/>
            <w:vAlign w:val="bottom"/>
            <w:hideMark/>
          </w:tcPr>
          <w:p w14:paraId="6789D3F5"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9%</w:t>
            </w:r>
          </w:p>
        </w:tc>
        <w:tc>
          <w:tcPr>
            <w:tcW w:w="266" w:type="dxa"/>
            <w:tcBorders>
              <w:top w:val="nil"/>
              <w:left w:val="nil"/>
              <w:bottom w:val="nil"/>
              <w:right w:val="nil"/>
            </w:tcBorders>
            <w:shd w:val="clear" w:color="auto" w:fill="auto"/>
            <w:noWrap/>
            <w:vAlign w:val="bottom"/>
            <w:hideMark/>
          </w:tcPr>
          <w:p w14:paraId="2D95493A"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53270D23"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2.1b</w:t>
            </w:r>
          </w:p>
        </w:tc>
        <w:tc>
          <w:tcPr>
            <w:tcW w:w="576" w:type="dxa"/>
            <w:tcBorders>
              <w:top w:val="nil"/>
              <w:left w:val="nil"/>
              <w:bottom w:val="nil"/>
              <w:right w:val="nil"/>
            </w:tcBorders>
            <w:shd w:val="clear" w:color="auto" w:fill="auto"/>
            <w:noWrap/>
            <w:vAlign w:val="bottom"/>
            <w:hideMark/>
          </w:tcPr>
          <w:p w14:paraId="1C2FD41B"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45%</w:t>
            </w:r>
          </w:p>
        </w:tc>
        <w:tc>
          <w:tcPr>
            <w:tcW w:w="576" w:type="dxa"/>
            <w:tcBorders>
              <w:top w:val="nil"/>
              <w:left w:val="nil"/>
              <w:bottom w:val="nil"/>
              <w:right w:val="nil"/>
            </w:tcBorders>
            <w:shd w:val="clear" w:color="auto" w:fill="auto"/>
            <w:noWrap/>
            <w:vAlign w:val="bottom"/>
            <w:hideMark/>
          </w:tcPr>
          <w:p w14:paraId="71E8C1DC"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45%</w:t>
            </w:r>
          </w:p>
        </w:tc>
        <w:tc>
          <w:tcPr>
            <w:tcW w:w="576" w:type="dxa"/>
            <w:tcBorders>
              <w:top w:val="nil"/>
              <w:left w:val="nil"/>
              <w:bottom w:val="nil"/>
              <w:right w:val="nil"/>
            </w:tcBorders>
            <w:shd w:val="clear" w:color="auto" w:fill="auto"/>
            <w:noWrap/>
            <w:vAlign w:val="bottom"/>
            <w:hideMark/>
          </w:tcPr>
          <w:p w14:paraId="0961FBA7"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9%</w:t>
            </w:r>
          </w:p>
        </w:tc>
        <w:tc>
          <w:tcPr>
            <w:tcW w:w="266" w:type="dxa"/>
            <w:tcBorders>
              <w:top w:val="nil"/>
              <w:left w:val="nil"/>
              <w:bottom w:val="nil"/>
              <w:right w:val="nil"/>
            </w:tcBorders>
            <w:shd w:val="clear" w:color="auto" w:fill="auto"/>
            <w:noWrap/>
            <w:vAlign w:val="bottom"/>
            <w:hideMark/>
          </w:tcPr>
          <w:p w14:paraId="0EFFEA59"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0ACE000C"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Willing to learn/interact with other cultures</w:t>
            </w:r>
          </w:p>
        </w:tc>
      </w:tr>
      <w:tr w:rsidR="00DF3F86" w:rsidRPr="00DF3F86" w14:paraId="6E679207" w14:textId="77777777" w:rsidTr="00DF3F86">
        <w:trPr>
          <w:trHeight w:val="315"/>
        </w:trPr>
        <w:tc>
          <w:tcPr>
            <w:tcW w:w="746" w:type="dxa"/>
            <w:tcBorders>
              <w:top w:val="nil"/>
              <w:left w:val="nil"/>
              <w:bottom w:val="nil"/>
              <w:right w:val="nil"/>
            </w:tcBorders>
            <w:shd w:val="clear" w:color="auto" w:fill="auto"/>
            <w:noWrap/>
            <w:vAlign w:val="bottom"/>
            <w:hideMark/>
          </w:tcPr>
          <w:p w14:paraId="2995B492"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6F3CFECE"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1.1c</w:t>
            </w:r>
          </w:p>
        </w:tc>
        <w:tc>
          <w:tcPr>
            <w:tcW w:w="576" w:type="dxa"/>
            <w:tcBorders>
              <w:top w:val="nil"/>
              <w:left w:val="nil"/>
              <w:bottom w:val="nil"/>
              <w:right w:val="nil"/>
            </w:tcBorders>
            <w:shd w:val="clear" w:color="auto" w:fill="auto"/>
            <w:noWrap/>
            <w:vAlign w:val="bottom"/>
            <w:hideMark/>
          </w:tcPr>
          <w:p w14:paraId="120826C4"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21%</w:t>
            </w:r>
          </w:p>
        </w:tc>
        <w:tc>
          <w:tcPr>
            <w:tcW w:w="576" w:type="dxa"/>
            <w:tcBorders>
              <w:top w:val="nil"/>
              <w:left w:val="nil"/>
              <w:bottom w:val="nil"/>
              <w:right w:val="nil"/>
            </w:tcBorders>
            <w:shd w:val="clear" w:color="auto" w:fill="auto"/>
            <w:noWrap/>
            <w:vAlign w:val="bottom"/>
            <w:hideMark/>
          </w:tcPr>
          <w:p w14:paraId="5DC3DF7B"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57%</w:t>
            </w:r>
          </w:p>
        </w:tc>
        <w:tc>
          <w:tcPr>
            <w:tcW w:w="576" w:type="dxa"/>
            <w:tcBorders>
              <w:top w:val="nil"/>
              <w:left w:val="nil"/>
              <w:bottom w:val="nil"/>
              <w:right w:val="nil"/>
            </w:tcBorders>
            <w:shd w:val="clear" w:color="auto" w:fill="auto"/>
            <w:noWrap/>
            <w:vAlign w:val="bottom"/>
            <w:hideMark/>
          </w:tcPr>
          <w:p w14:paraId="3E6146F4"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23%</w:t>
            </w:r>
          </w:p>
        </w:tc>
        <w:tc>
          <w:tcPr>
            <w:tcW w:w="266" w:type="dxa"/>
            <w:tcBorders>
              <w:top w:val="nil"/>
              <w:left w:val="nil"/>
              <w:bottom w:val="nil"/>
              <w:right w:val="nil"/>
            </w:tcBorders>
            <w:shd w:val="clear" w:color="auto" w:fill="auto"/>
            <w:noWrap/>
            <w:vAlign w:val="bottom"/>
            <w:hideMark/>
          </w:tcPr>
          <w:p w14:paraId="34EBCD3E"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552D8BC1"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2.1c</w:t>
            </w:r>
          </w:p>
        </w:tc>
        <w:tc>
          <w:tcPr>
            <w:tcW w:w="576" w:type="dxa"/>
            <w:tcBorders>
              <w:top w:val="nil"/>
              <w:left w:val="nil"/>
              <w:bottom w:val="nil"/>
              <w:right w:val="nil"/>
            </w:tcBorders>
            <w:shd w:val="clear" w:color="auto" w:fill="auto"/>
            <w:noWrap/>
            <w:vAlign w:val="bottom"/>
            <w:hideMark/>
          </w:tcPr>
          <w:p w14:paraId="4F5748D9"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39%</w:t>
            </w:r>
          </w:p>
        </w:tc>
        <w:tc>
          <w:tcPr>
            <w:tcW w:w="576" w:type="dxa"/>
            <w:tcBorders>
              <w:top w:val="nil"/>
              <w:left w:val="nil"/>
              <w:bottom w:val="nil"/>
              <w:right w:val="nil"/>
            </w:tcBorders>
            <w:shd w:val="clear" w:color="auto" w:fill="auto"/>
            <w:noWrap/>
            <w:vAlign w:val="bottom"/>
            <w:hideMark/>
          </w:tcPr>
          <w:p w14:paraId="62928F96"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52%</w:t>
            </w:r>
          </w:p>
        </w:tc>
        <w:tc>
          <w:tcPr>
            <w:tcW w:w="576" w:type="dxa"/>
            <w:tcBorders>
              <w:top w:val="nil"/>
              <w:left w:val="nil"/>
              <w:bottom w:val="nil"/>
              <w:right w:val="nil"/>
            </w:tcBorders>
            <w:shd w:val="clear" w:color="auto" w:fill="auto"/>
            <w:noWrap/>
            <w:vAlign w:val="bottom"/>
            <w:hideMark/>
          </w:tcPr>
          <w:p w14:paraId="2B9B56C5"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9%</w:t>
            </w:r>
          </w:p>
        </w:tc>
        <w:tc>
          <w:tcPr>
            <w:tcW w:w="266" w:type="dxa"/>
            <w:tcBorders>
              <w:top w:val="nil"/>
              <w:left w:val="nil"/>
              <w:bottom w:val="nil"/>
              <w:right w:val="nil"/>
            </w:tcBorders>
            <w:shd w:val="clear" w:color="auto" w:fill="auto"/>
            <w:noWrap/>
            <w:vAlign w:val="bottom"/>
            <w:hideMark/>
          </w:tcPr>
          <w:p w14:paraId="015C7EEA"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547D8516"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Promotes tolerance/diversity</w:t>
            </w:r>
          </w:p>
        </w:tc>
      </w:tr>
      <w:tr w:rsidR="00DF3F86" w:rsidRPr="00DF3F86" w14:paraId="319C2920" w14:textId="77777777" w:rsidTr="00DF3F86">
        <w:trPr>
          <w:trHeight w:val="315"/>
        </w:trPr>
        <w:tc>
          <w:tcPr>
            <w:tcW w:w="746" w:type="dxa"/>
            <w:tcBorders>
              <w:top w:val="nil"/>
              <w:left w:val="nil"/>
              <w:bottom w:val="nil"/>
              <w:right w:val="nil"/>
            </w:tcBorders>
            <w:shd w:val="clear" w:color="auto" w:fill="auto"/>
            <w:noWrap/>
            <w:vAlign w:val="bottom"/>
            <w:hideMark/>
          </w:tcPr>
          <w:p w14:paraId="165A1793"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19470DCA" w14:textId="77777777" w:rsidR="00DF3F86" w:rsidRPr="00DF3F86" w:rsidRDefault="00DF3F86" w:rsidP="00DF3F86">
            <w:pPr>
              <w:spacing w:before="0" w:after="0" w:line="240" w:lineRule="auto"/>
              <w:jc w:val="center"/>
              <w:rPr>
                <w:rFonts w:eastAsia="Times New Roman"/>
                <w:b/>
                <w:bCs/>
                <w:sz w:val="18"/>
                <w:szCs w:val="18"/>
              </w:rPr>
            </w:pPr>
            <w:r w:rsidRPr="00DF3F86">
              <w:rPr>
                <w:rFonts w:eastAsia="Times New Roman"/>
                <w:b/>
                <w:bCs/>
                <w:sz w:val="18"/>
                <w:szCs w:val="18"/>
              </w:rPr>
              <w:t>1.2</w:t>
            </w:r>
          </w:p>
        </w:tc>
        <w:tc>
          <w:tcPr>
            <w:tcW w:w="576" w:type="dxa"/>
            <w:tcBorders>
              <w:top w:val="nil"/>
              <w:left w:val="nil"/>
              <w:bottom w:val="nil"/>
              <w:right w:val="nil"/>
            </w:tcBorders>
            <w:shd w:val="clear" w:color="auto" w:fill="auto"/>
            <w:noWrap/>
            <w:vAlign w:val="bottom"/>
            <w:hideMark/>
          </w:tcPr>
          <w:p w14:paraId="55E8B860"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17%</w:t>
            </w:r>
          </w:p>
        </w:tc>
        <w:tc>
          <w:tcPr>
            <w:tcW w:w="576" w:type="dxa"/>
            <w:tcBorders>
              <w:top w:val="nil"/>
              <w:left w:val="nil"/>
              <w:bottom w:val="nil"/>
              <w:right w:val="nil"/>
            </w:tcBorders>
            <w:shd w:val="clear" w:color="auto" w:fill="auto"/>
            <w:noWrap/>
            <w:vAlign w:val="bottom"/>
            <w:hideMark/>
          </w:tcPr>
          <w:p w14:paraId="5BF62B57"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50%</w:t>
            </w:r>
          </w:p>
        </w:tc>
        <w:tc>
          <w:tcPr>
            <w:tcW w:w="576" w:type="dxa"/>
            <w:tcBorders>
              <w:top w:val="nil"/>
              <w:left w:val="nil"/>
              <w:bottom w:val="nil"/>
              <w:right w:val="nil"/>
            </w:tcBorders>
            <w:shd w:val="clear" w:color="auto" w:fill="auto"/>
            <w:noWrap/>
            <w:vAlign w:val="bottom"/>
            <w:hideMark/>
          </w:tcPr>
          <w:p w14:paraId="0DE99B19" w14:textId="77777777" w:rsidR="00DF3F86" w:rsidRPr="00DF3F86" w:rsidRDefault="00DF3F86" w:rsidP="00DF3F86">
            <w:pPr>
              <w:spacing w:before="0" w:after="0" w:line="240" w:lineRule="auto"/>
              <w:jc w:val="right"/>
              <w:rPr>
                <w:rFonts w:eastAsia="Times New Roman"/>
                <w:b/>
                <w:bCs/>
                <w:sz w:val="18"/>
                <w:szCs w:val="18"/>
                <w:highlight w:val="yellow"/>
              </w:rPr>
            </w:pPr>
            <w:r w:rsidRPr="00DF3F86">
              <w:rPr>
                <w:rFonts w:eastAsia="Times New Roman"/>
                <w:b/>
                <w:bCs/>
                <w:sz w:val="18"/>
                <w:szCs w:val="18"/>
                <w:highlight w:val="yellow"/>
              </w:rPr>
              <w:t>33%</w:t>
            </w:r>
          </w:p>
        </w:tc>
        <w:tc>
          <w:tcPr>
            <w:tcW w:w="266" w:type="dxa"/>
            <w:tcBorders>
              <w:top w:val="nil"/>
              <w:left w:val="nil"/>
              <w:bottom w:val="nil"/>
              <w:right w:val="nil"/>
            </w:tcBorders>
            <w:shd w:val="clear" w:color="auto" w:fill="auto"/>
            <w:noWrap/>
            <w:vAlign w:val="bottom"/>
            <w:hideMark/>
          </w:tcPr>
          <w:p w14:paraId="55EFD689" w14:textId="77777777" w:rsidR="00DF3F86" w:rsidRPr="00DF3F86" w:rsidRDefault="00DF3F86" w:rsidP="00DF3F86">
            <w:pPr>
              <w:spacing w:before="0" w:after="0" w:line="240" w:lineRule="auto"/>
              <w:rPr>
                <w:rFonts w:eastAsia="Times New Roman"/>
                <w:b/>
                <w:bCs/>
                <w:sz w:val="18"/>
                <w:szCs w:val="18"/>
              </w:rPr>
            </w:pPr>
          </w:p>
        </w:tc>
        <w:tc>
          <w:tcPr>
            <w:tcW w:w="531" w:type="dxa"/>
            <w:tcBorders>
              <w:top w:val="nil"/>
              <w:left w:val="nil"/>
              <w:bottom w:val="nil"/>
              <w:right w:val="nil"/>
            </w:tcBorders>
            <w:shd w:val="clear" w:color="auto" w:fill="auto"/>
            <w:noWrap/>
            <w:vAlign w:val="bottom"/>
            <w:hideMark/>
          </w:tcPr>
          <w:p w14:paraId="6D063868" w14:textId="77777777" w:rsidR="00DF3F86" w:rsidRPr="00DF3F86" w:rsidRDefault="00DF3F86" w:rsidP="00DF3F86">
            <w:pPr>
              <w:spacing w:before="0" w:after="0" w:line="240" w:lineRule="auto"/>
              <w:jc w:val="center"/>
              <w:rPr>
                <w:rFonts w:eastAsia="Times New Roman"/>
                <w:b/>
                <w:bCs/>
                <w:sz w:val="18"/>
                <w:szCs w:val="18"/>
              </w:rPr>
            </w:pPr>
            <w:r w:rsidRPr="00DF3F86">
              <w:rPr>
                <w:rFonts w:eastAsia="Times New Roman"/>
                <w:b/>
                <w:bCs/>
                <w:sz w:val="18"/>
                <w:szCs w:val="18"/>
              </w:rPr>
              <w:t>2.2</w:t>
            </w:r>
          </w:p>
        </w:tc>
        <w:tc>
          <w:tcPr>
            <w:tcW w:w="576" w:type="dxa"/>
            <w:tcBorders>
              <w:top w:val="nil"/>
              <w:left w:val="nil"/>
              <w:bottom w:val="nil"/>
              <w:right w:val="nil"/>
            </w:tcBorders>
            <w:shd w:val="clear" w:color="auto" w:fill="auto"/>
            <w:noWrap/>
            <w:vAlign w:val="bottom"/>
            <w:hideMark/>
          </w:tcPr>
          <w:p w14:paraId="22AEEA8A"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29%</w:t>
            </w:r>
          </w:p>
        </w:tc>
        <w:tc>
          <w:tcPr>
            <w:tcW w:w="576" w:type="dxa"/>
            <w:tcBorders>
              <w:top w:val="nil"/>
              <w:left w:val="nil"/>
              <w:bottom w:val="nil"/>
              <w:right w:val="nil"/>
            </w:tcBorders>
            <w:shd w:val="clear" w:color="auto" w:fill="auto"/>
            <w:noWrap/>
            <w:vAlign w:val="bottom"/>
            <w:hideMark/>
          </w:tcPr>
          <w:p w14:paraId="2B68743F"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63%</w:t>
            </w:r>
          </w:p>
        </w:tc>
        <w:tc>
          <w:tcPr>
            <w:tcW w:w="576" w:type="dxa"/>
            <w:tcBorders>
              <w:top w:val="nil"/>
              <w:left w:val="nil"/>
              <w:bottom w:val="nil"/>
              <w:right w:val="nil"/>
            </w:tcBorders>
            <w:shd w:val="clear" w:color="auto" w:fill="auto"/>
            <w:noWrap/>
            <w:vAlign w:val="bottom"/>
            <w:hideMark/>
          </w:tcPr>
          <w:p w14:paraId="61404CA2"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8%</w:t>
            </w:r>
          </w:p>
        </w:tc>
        <w:tc>
          <w:tcPr>
            <w:tcW w:w="266" w:type="dxa"/>
            <w:tcBorders>
              <w:top w:val="nil"/>
              <w:left w:val="nil"/>
              <w:bottom w:val="nil"/>
              <w:right w:val="nil"/>
            </w:tcBorders>
            <w:shd w:val="clear" w:color="auto" w:fill="auto"/>
            <w:noWrap/>
            <w:vAlign w:val="bottom"/>
            <w:hideMark/>
          </w:tcPr>
          <w:p w14:paraId="7AC8C215" w14:textId="77777777" w:rsidR="00DF3F86" w:rsidRPr="00DF3F86" w:rsidRDefault="00DF3F86" w:rsidP="00DF3F86">
            <w:pPr>
              <w:spacing w:before="0" w:after="0" w:line="240" w:lineRule="auto"/>
              <w:rPr>
                <w:rFonts w:eastAsia="Times New Roman"/>
                <w:b/>
                <w:bCs/>
                <w:sz w:val="18"/>
                <w:szCs w:val="18"/>
              </w:rPr>
            </w:pPr>
          </w:p>
        </w:tc>
        <w:tc>
          <w:tcPr>
            <w:tcW w:w="4283" w:type="dxa"/>
            <w:tcBorders>
              <w:top w:val="nil"/>
              <w:left w:val="nil"/>
              <w:bottom w:val="nil"/>
              <w:right w:val="nil"/>
            </w:tcBorders>
            <w:shd w:val="clear" w:color="auto" w:fill="auto"/>
            <w:noWrap/>
            <w:vAlign w:val="bottom"/>
            <w:hideMark/>
          </w:tcPr>
          <w:p w14:paraId="02CA9AAA" w14:textId="77777777" w:rsidR="00DF3F86" w:rsidRPr="00DF3F86" w:rsidRDefault="00DF3F86" w:rsidP="00DF3F86">
            <w:pPr>
              <w:spacing w:before="0" w:after="0" w:line="240" w:lineRule="auto"/>
              <w:rPr>
                <w:rFonts w:eastAsia="Times New Roman"/>
                <w:b/>
                <w:bCs/>
                <w:color w:val="000000"/>
                <w:sz w:val="18"/>
                <w:szCs w:val="18"/>
              </w:rPr>
            </w:pPr>
            <w:r w:rsidRPr="00DF3F86">
              <w:rPr>
                <w:rFonts w:eastAsia="Times New Roman"/>
                <w:b/>
                <w:bCs/>
                <w:color w:val="000000"/>
                <w:sz w:val="18"/>
                <w:szCs w:val="18"/>
              </w:rPr>
              <w:t>Communication</w:t>
            </w:r>
          </w:p>
        </w:tc>
      </w:tr>
      <w:tr w:rsidR="00DF3F86" w:rsidRPr="00DF3F86" w14:paraId="5AAF21C2" w14:textId="77777777" w:rsidTr="00DF3F86">
        <w:trPr>
          <w:trHeight w:val="315"/>
        </w:trPr>
        <w:tc>
          <w:tcPr>
            <w:tcW w:w="746" w:type="dxa"/>
            <w:tcBorders>
              <w:top w:val="nil"/>
              <w:left w:val="nil"/>
              <w:bottom w:val="nil"/>
              <w:right w:val="nil"/>
            </w:tcBorders>
            <w:shd w:val="clear" w:color="auto" w:fill="auto"/>
            <w:noWrap/>
            <w:vAlign w:val="bottom"/>
            <w:hideMark/>
          </w:tcPr>
          <w:p w14:paraId="4EE28166"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628B0F8D"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1.2a</w:t>
            </w:r>
          </w:p>
        </w:tc>
        <w:tc>
          <w:tcPr>
            <w:tcW w:w="576" w:type="dxa"/>
            <w:tcBorders>
              <w:top w:val="nil"/>
              <w:left w:val="nil"/>
              <w:bottom w:val="nil"/>
              <w:right w:val="nil"/>
            </w:tcBorders>
            <w:shd w:val="clear" w:color="auto" w:fill="auto"/>
            <w:noWrap/>
            <w:vAlign w:val="bottom"/>
            <w:hideMark/>
          </w:tcPr>
          <w:p w14:paraId="0BE08AD6"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21%</w:t>
            </w:r>
          </w:p>
        </w:tc>
        <w:tc>
          <w:tcPr>
            <w:tcW w:w="576" w:type="dxa"/>
            <w:tcBorders>
              <w:top w:val="nil"/>
              <w:left w:val="nil"/>
              <w:bottom w:val="nil"/>
              <w:right w:val="nil"/>
            </w:tcBorders>
            <w:shd w:val="clear" w:color="auto" w:fill="auto"/>
            <w:noWrap/>
            <w:vAlign w:val="bottom"/>
            <w:hideMark/>
          </w:tcPr>
          <w:p w14:paraId="403AFBD3"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42%</w:t>
            </w:r>
          </w:p>
        </w:tc>
        <w:tc>
          <w:tcPr>
            <w:tcW w:w="576" w:type="dxa"/>
            <w:tcBorders>
              <w:top w:val="nil"/>
              <w:left w:val="nil"/>
              <w:bottom w:val="nil"/>
              <w:right w:val="nil"/>
            </w:tcBorders>
            <w:shd w:val="clear" w:color="auto" w:fill="auto"/>
            <w:noWrap/>
            <w:vAlign w:val="bottom"/>
            <w:hideMark/>
          </w:tcPr>
          <w:p w14:paraId="31DB9D74"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36%</w:t>
            </w:r>
          </w:p>
        </w:tc>
        <w:tc>
          <w:tcPr>
            <w:tcW w:w="266" w:type="dxa"/>
            <w:tcBorders>
              <w:top w:val="nil"/>
              <w:left w:val="nil"/>
              <w:bottom w:val="nil"/>
              <w:right w:val="nil"/>
            </w:tcBorders>
            <w:shd w:val="clear" w:color="auto" w:fill="auto"/>
            <w:noWrap/>
            <w:vAlign w:val="bottom"/>
            <w:hideMark/>
          </w:tcPr>
          <w:p w14:paraId="51342FC6"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5A19A774"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2.2a</w:t>
            </w:r>
          </w:p>
        </w:tc>
        <w:tc>
          <w:tcPr>
            <w:tcW w:w="576" w:type="dxa"/>
            <w:tcBorders>
              <w:top w:val="nil"/>
              <w:left w:val="nil"/>
              <w:bottom w:val="nil"/>
              <w:right w:val="nil"/>
            </w:tcBorders>
            <w:shd w:val="clear" w:color="auto" w:fill="auto"/>
            <w:noWrap/>
            <w:vAlign w:val="bottom"/>
            <w:hideMark/>
          </w:tcPr>
          <w:p w14:paraId="2539F5E4"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30%</w:t>
            </w:r>
          </w:p>
        </w:tc>
        <w:tc>
          <w:tcPr>
            <w:tcW w:w="576" w:type="dxa"/>
            <w:tcBorders>
              <w:top w:val="nil"/>
              <w:left w:val="nil"/>
              <w:bottom w:val="nil"/>
              <w:right w:val="nil"/>
            </w:tcBorders>
            <w:shd w:val="clear" w:color="auto" w:fill="auto"/>
            <w:noWrap/>
            <w:vAlign w:val="bottom"/>
            <w:hideMark/>
          </w:tcPr>
          <w:p w14:paraId="3B9B031F"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61%</w:t>
            </w:r>
          </w:p>
        </w:tc>
        <w:tc>
          <w:tcPr>
            <w:tcW w:w="576" w:type="dxa"/>
            <w:tcBorders>
              <w:top w:val="nil"/>
              <w:left w:val="nil"/>
              <w:bottom w:val="nil"/>
              <w:right w:val="nil"/>
            </w:tcBorders>
            <w:shd w:val="clear" w:color="auto" w:fill="auto"/>
            <w:noWrap/>
            <w:vAlign w:val="bottom"/>
            <w:hideMark/>
          </w:tcPr>
          <w:p w14:paraId="44D38731"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9%</w:t>
            </w:r>
          </w:p>
        </w:tc>
        <w:tc>
          <w:tcPr>
            <w:tcW w:w="266" w:type="dxa"/>
            <w:tcBorders>
              <w:top w:val="nil"/>
              <w:left w:val="nil"/>
              <w:bottom w:val="nil"/>
              <w:right w:val="nil"/>
            </w:tcBorders>
            <w:shd w:val="clear" w:color="auto" w:fill="auto"/>
            <w:noWrap/>
            <w:vAlign w:val="bottom"/>
            <w:hideMark/>
          </w:tcPr>
          <w:p w14:paraId="01F62EDB"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5C70490B"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Understanding of verbal/nonverbal</w:t>
            </w:r>
          </w:p>
        </w:tc>
      </w:tr>
      <w:tr w:rsidR="00DF3F86" w:rsidRPr="00DF3F86" w14:paraId="38CC6853" w14:textId="77777777" w:rsidTr="00DF3F86">
        <w:trPr>
          <w:trHeight w:val="315"/>
        </w:trPr>
        <w:tc>
          <w:tcPr>
            <w:tcW w:w="746" w:type="dxa"/>
            <w:tcBorders>
              <w:top w:val="nil"/>
              <w:left w:val="nil"/>
              <w:bottom w:val="nil"/>
              <w:right w:val="nil"/>
            </w:tcBorders>
            <w:shd w:val="clear" w:color="auto" w:fill="auto"/>
            <w:noWrap/>
            <w:vAlign w:val="bottom"/>
            <w:hideMark/>
          </w:tcPr>
          <w:p w14:paraId="0BAEFC80"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531978FD"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1.2b</w:t>
            </w:r>
          </w:p>
        </w:tc>
        <w:tc>
          <w:tcPr>
            <w:tcW w:w="576" w:type="dxa"/>
            <w:tcBorders>
              <w:top w:val="nil"/>
              <w:left w:val="nil"/>
              <w:bottom w:val="nil"/>
              <w:right w:val="nil"/>
            </w:tcBorders>
            <w:shd w:val="clear" w:color="auto" w:fill="auto"/>
            <w:noWrap/>
            <w:vAlign w:val="bottom"/>
            <w:hideMark/>
          </w:tcPr>
          <w:p w14:paraId="13436E7C"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19%</w:t>
            </w:r>
          </w:p>
        </w:tc>
        <w:tc>
          <w:tcPr>
            <w:tcW w:w="576" w:type="dxa"/>
            <w:tcBorders>
              <w:top w:val="nil"/>
              <w:left w:val="nil"/>
              <w:bottom w:val="nil"/>
              <w:right w:val="nil"/>
            </w:tcBorders>
            <w:shd w:val="clear" w:color="auto" w:fill="auto"/>
            <w:noWrap/>
            <w:vAlign w:val="bottom"/>
            <w:hideMark/>
          </w:tcPr>
          <w:p w14:paraId="1CF24618"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53%</w:t>
            </w:r>
          </w:p>
        </w:tc>
        <w:tc>
          <w:tcPr>
            <w:tcW w:w="576" w:type="dxa"/>
            <w:tcBorders>
              <w:top w:val="nil"/>
              <w:left w:val="nil"/>
              <w:bottom w:val="nil"/>
              <w:right w:val="nil"/>
            </w:tcBorders>
            <w:shd w:val="clear" w:color="auto" w:fill="auto"/>
            <w:noWrap/>
            <w:vAlign w:val="bottom"/>
            <w:hideMark/>
          </w:tcPr>
          <w:p w14:paraId="1577BF4B"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26%</w:t>
            </w:r>
          </w:p>
        </w:tc>
        <w:tc>
          <w:tcPr>
            <w:tcW w:w="266" w:type="dxa"/>
            <w:tcBorders>
              <w:top w:val="nil"/>
              <w:left w:val="nil"/>
              <w:bottom w:val="nil"/>
              <w:right w:val="nil"/>
            </w:tcBorders>
            <w:shd w:val="clear" w:color="auto" w:fill="auto"/>
            <w:noWrap/>
            <w:vAlign w:val="bottom"/>
            <w:hideMark/>
          </w:tcPr>
          <w:p w14:paraId="2DF2590B"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454EC8B2"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2.2b</w:t>
            </w:r>
          </w:p>
        </w:tc>
        <w:tc>
          <w:tcPr>
            <w:tcW w:w="576" w:type="dxa"/>
            <w:tcBorders>
              <w:top w:val="nil"/>
              <w:left w:val="nil"/>
              <w:bottom w:val="nil"/>
              <w:right w:val="nil"/>
            </w:tcBorders>
            <w:shd w:val="clear" w:color="auto" w:fill="auto"/>
            <w:noWrap/>
            <w:vAlign w:val="bottom"/>
            <w:hideMark/>
          </w:tcPr>
          <w:p w14:paraId="7A763C5D"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21%</w:t>
            </w:r>
          </w:p>
        </w:tc>
        <w:tc>
          <w:tcPr>
            <w:tcW w:w="576" w:type="dxa"/>
            <w:tcBorders>
              <w:top w:val="nil"/>
              <w:left w:val="nil"/>
              <w:bottom w:val="nil"/>
              <w:right w:val="nil"/>
            </w:tcBorders>
            <w:shd w:val="clear" w:color="auto" w:fill="auto"/>
            <w:noWrap/>
            <w:vAlign w:val="bottom"/>
            <w:hideMark/>
          </w:tcPr>
          <w:p w14:paraId="24F6A49D"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70%</w:t>
            </w:r>
          </w:p>
        </w:tc>
        <w:tc>
          <w:tcPr>
            <w:tcW w:w="576" w:type="dxa"/>
            <w:tcBorders>
              <w:top w:val="nil"/>
              <w:left w:val="nil"/>
              <w:bottom w:val="nil"/>
              <w:right w:val="nil"/>
            </w:tcBorders>
            <w:shd w:val="clear" w:color="auto" w:fill="auto"/>
            <w:noWrap/>
            <w:vAlign w:val="bottom"/>
            <w:hideMark/>
          </w:tcPr>
          <w:p w14:paraId="2515D302"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9%</w:t>
            </w:r>
          </w:p>
        </w:tc>
        <w:tc>
          <w:tcPr>
            <w:tcW w:w="266" w:type="dxa"/>
            <w:tcBorders>
              <w:top w:val="nil"/>
              <w:left w:val="nil"/>
              <w:bottom w:val="nil"/>
              <w:right w:val="nil"/>
            </w:tcBorders>
            <w:shd w:val="clear" w:color="auto" w:fill="auto"/>
            <w:noWrap/>
            <w:vAlign w:val="bottom"/>
            <w:hideMark/>
          </w:tcPr>
          <w:p w14:paraId="514CC180"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08A83A2C"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Appropriate use of spoken/written language</w:t>
            </w:r>
          </w:p>
        </w:tc>
      </w:tr>
      <w:tr w:rsidR="00DF3F86" w:rsidRPr="00DF3F86" w14:paraId="0018F20F" w14:textId="77777777" w:rsidTr="00DF3F86">
        <w:trPr>
          <w:trHeight w:val="315"/>
        </w:trPr>
        <w:tc>
          <w:tcPr>
            <w:tcW w:w="746" w:type="dxa"/>
            <w:tcBorders>
              <w:top w:val="nil"/>
              <w:left w:val="nil"/>
              <w:bottom w:val="nil"/>
              <w:right w:val="nil"/>
            </w:tcBorders>
            <w:shd w:val="clear" w:color="auto" w:fill="auto"/>
            <w:noWrap/>
            <w:vAlign w:val="bottom"/>
            <w:hideMark/>
          </w:tcPr>
          <w:p w14:paraId="14CB16CA"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4E3606AB"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1.2c</w:t>
            </w:r>
          </w:p>
        </w:tc>
        <w:tc>
          <w:tcPr>
            <w:tcW w:w="576" w:type="dxa"/>
            <w:tcBorders>
              <w:top w:val="nil"/>
              <w:left w:val="nil"/>
              <w:bottom w:val="nil"/>
              <w:right w:val="nil"/>
            </w:tcBorders>
            <w:shd w:val="clear" w:color="auto" w:fill="auto"/>
            <w:noWrap/>
            <w:vAlign w:val="bottom"/>
            <w:hideMark/>
          </w:tcPr>
          <w:p w14:paraId="09AAAC4F"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9%</w:t>
            </w:r>
          </w:p>
        </w:tc>
        <w:tc>
          <w:tcPr>
            <w:tcW w:w="576" w:type="dxa"/>
            <w:tcBorders>
              <w:top w:val="nil"/>
              <w:left w:val="nil"/>
              <w:bottom w:val="nil"/>
              <w:right w:val="nil"/>
            </w:tcBorders>
            <w:shd w:val="clear" w:color="auto" w:fill="auto"/>
            <w:noWrap/>
            <w:vAlign w:val="bottom"/>
            <w:hideMark/>
          </w:tcPr>
          <w:p w14:paraId="73A11289"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60%</w:t>
            </w:r>
          </w:p>
        </w:tc>
        <w:tc>
          <w:tcPr>
            <w:tcW w:w="576" w:type="dxa"/>
            <w:tcBorders>
              <w:top w:val="nil"/>
              <w:left w:val="nil"/>
              <w:bottom w:val="nil"/>
              <w:right w:val="nil"/>
            </w:tcBorders>
            <w:shd w:val="clear" w:color="auto" w:fill="auto"/>
            <w:noWrap/>
            <w:vAlign w:val="bottom"/>
            <w:hideMark/>
          </w:tcPr>
          <w:p w14:paraId="055108AF"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30%</w:t>
            </w:r>
          </w:p>
        </w:tc>
        <w:tc>
          <w:tcPr>
            <w:tcW w:w="266" w:type="dxa"/>
            <w:tcBorders>
              <w:top w:val="nil"/>
              <w:left w:val="nil"/>
              <w:bottom w:val="nil"/>
              <w:right w:val="nil"/>
            </w:tcBorders>
            <w:shd w:val="clear" w:color="auto" w:fill="auto"/>
            <w:noWrap/>
            <w:vAlign w:val="bottom"/>
            <w:hideMark/>
          </w:tcPr>
          <w:p w14:paraId="10C6DF3E"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386F13CF"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2.2c</w:t>
            </w:r>
          </w:p>
        </w:tc>
        <w:tc>
          <w:tcPr>
            <w:tcW w:w="576" w:type="dxa"/>
            <w:tcBorders>
              <w:top w:val="nil"/>
              <w:left w:val="nil"/>
              <w:bottom w:val="nil"/>
              <w:right w:val="nil"/>
            </w:tcBorders>
            <w:shd w:val="clear" w:color="auto" w:fill="auto"/>
            <w:noWrap/>
            <w:vAlign w:val="bottom"/>
            <w:hideMark/>
          </w:tcPr>
          <w:p w14:paraId="1857AE37"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30%</w:t>
            </w:r>
          </w:p>
        </w:tc>
        <w:tc>
          <w:tcPr>
            <w:tcW w:w="576" w:type="dxa"/>
            <w:tcBorders>
              <w:top w:val="nil"/>
              <w:left w:val="nil"/>
              <w:bottom w:val="nil"/>
              <w:right w:val="nil"/>
            </w:tcBorders>
            <w:shd w:val="clear" w:color="auto" w:fill="auto"/>
            <w:noWrap/>
            <w:vAlign w:val="bottom"/>
            <w:hideMark/>
          </w:tcPr>
          <w:p w14:paraId="76C3286D"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61%</w:t>
            </w:r>
          </w:p>
        </w:tc>
        <w:tc>
          <w:tcPr>
            <w:tcW w:w="576" w:type="dxa"/>
            <w:tcBorders>
              <w:top w:val="nil"/>
              <w:left w:val="nil"/>
              <w:bottom w:val="nil"/>
              <w:right w:val="nil"/>
            </w:tcBorders>
            <w:shd w:val="clear" w:color="auto" w:fill="auto"/>
            <w:noWrap/>
            <w:vAlign w:val="bottom"/>
            <w:hideMark/>
          </w:tcPr>
          <w:p w14:paraId="37F2E37F"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9%</w:t>
            </w:r>
          </w:p>
        </w:tc>
        <w:tc>
          <w:tcPr>
            <w:tcW w:w="266" w:type="dxa"/>
            <w:tcBorders>
              <w:top w:val="nil"/>
              <w:left w:val="nil"/>
              <w:bottom w:val="nil"/>
              <w:right w:val="nil"/>
            </w:tcBorders>
            <w:shd w:val="clear" w:color="auto" w:fill="auto"/>
            <w:noWrap/>
            <w:vAlign w:val="bottom"/>
            <w:hideMark/>
          </w:tcPr>
          <w:p w14:paraId="7C0E4963"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4B225B64"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Uses variety of communication tools</w:t>
            </w:r>
          </w:p>
        </w:tc>
      </w:tr>
      <w:tr w:rsidR="00DF3F86" w:rsidRPr="00DF3F86" w14:paraId="13A2301F" w14:textId="77777777" w:rsidTr="00DF3F86">
        <w:trPr>
          <w:trHeight w:val="315"/>
        </w:trPr>
        <w:tc>
          <w:tcPr>
            <w:tcW w:w="746" w:type="dxa"/>
            <w:tcBorders>
              <w:top w:val="nil"/>
              <w:left w:val="nil"/>
              <w:bottom w:val="nil"/>
              <w:right w:val="nil"/>
            </w:tcBorders>
            <w:shd w:val="clear" w:color="auto" w:fill="auto"/>
            <w:noWrap/>
            <w:vAlign w:val="bottom"/>
            <w:hideMark/>
          </w:tcPr>
          <w:p w14:paraId="580ADE0C"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33F55FD5"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1.2d</w:t>
            </w:r>
          </w:p>
        </w:tc>
        <w:tc>
          <w:tcPr>
            <w:tcW w:w="576" w:type="dxa"/>
            <w:tcBorders>
              <w:top w:val="nil"/>
              <w:left w:val="nil"/>
              <w:bottom w:val="nil"/>
              <w:right w:val="nil"/>
            </w:tcBorders>
            <w:shd w:val="clear" w:color="auto" w:fill="auto"/>
            <w:noWrap/>
            <w:vAlign w:val="bottom"/>
            <w:hideMark/>
          </w:tcPr>
          <w:p w14:paraId="676A3DF3"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17%</w:t>
            </w:r>
          </w:p>
        </w:tc>
        <w:tc>
          <w:tcPr>
            <w:tcW w:w="576" w:type="dxa"/>
            <w:tcBorders>
              <w:top w:val="nil"/>
              <w:left w:val="nil"/>
              <w:bottom w:val="nil"/>
              <w:right w:val="nil"/>
            </w:tcBorders>
            <w:shd w:val="clear" w:color="auto" w:fill="auto"/>
            <w:noWrap/>
            <w:vAlign w:val="bottom"/>
            <w:hideMark/>
          </w:tcPr>
          <w:p w14:paraId="71D78FBB"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43%</w:t>
            </w:r>
          </w:p>
        </w:tc>
        <w:tc>
          <w:tcPr>
            <w:tcW w:w="576" w:type="dxa"/>
            <w:tcBorders>
              <w:top w:val="nil"/>
              <w:left w:val="nil"/>
              <w:bottom w:val="nil"/>
              <w:right w:val="nil"/>
            </w:tcBorders>
            <w:shd w:val="clear" w:color="auto" w:fill="auto"/>
            <w:noWrap/>
            <w:vAlign w:val="bottom"/>
            <w:hideMark/>
          </w:tcPr>
          <w:p w14:paraId="75B1EDD2"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40%</w:t>
            </w:r>
          </w:p>
        </w:tc>
        <w:tc>
          <w:tcPr>
            <w:tcW w:w="266" w:type="dxa"/>
            <w:tcBorders>
              <w:top w:val="nil"/>
              <w:left w:val="nil"/>
              <w:bottom w:val="nil"/>
              <w:right w:val="nil"/>
            </w:tcBorders>
            <w:shd w:val="clear" w:color="auto" w:fill="auto"/>
            <w:noWrap/>
            <w:vAlign w:val="bottom"/>
            <w:hideMark/>
          </w:tcPr>
          <w:p w14:paraId="45FD78EA"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28148AF1"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2.2d</w:t>
            </w:r>
          </w:p>
        </w:tc>
        <w:tc>
          <w:tcPr>
            <w:tcW w:w="576" w:type="dxa"/>
            <w:tcBorders>
              <w:top w:val="nil"/>
              <w:left w:val="nil"/>
              <w:bottom w:val="nil"/>
              <w:right w:val="nil"/>
            </w:tcBorders>
            <w:shd w:val="clear" w:color="auto" w:fill="auto"/>
            <w:noWrap/>
            <w:vAlign w:val="bottom"/>
            <w:hideMark/>
          </w:tcPr>
          <w:p w14:paraId="3723028A"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33%</w:t>
            </w:r>
          </w:p>
        </w:tc>
        <w:tc>
          <w:tcPr>
            <w:tcW w:w="576" w:type="dxa"/>
            <w:tcBorders>
              <w:top w:val="nil"/>
              <w:left w:val="nil"/>
              <w:bottom w:val="nil"/>
              <w:right w:val="nil"/>
            </w:tcBorders>
            <w:shd w:val="clear" w:color="auto" w:fill="auto"/>
            <w:noWrap/>
            <w:vAlign w:val="bottom"/>
            <w:hideMark/>
          </w:tcPr>
          <w:p w14:paraId="55252A72"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61%</w:t>
            </w:r>
          </w:p>
        </w:tc>
        <w:tc>
          <w:tcPr>
            <w:tcW w:w="576" w:type="dxa"/>
            <w:tcBorders>
              <w:top w:val="nil"/>
              <w:left w:val="nil"/>
              <w:bottom w:val="nil"/>
              <w:right w:val="nil"/>
            </w:tcBorders>
            <w:shd w:val="clear" w:color="auto" w:fill="auto"/>
            <w:noWrap/>
            <w:vAlign w:val="bottom"/>
            <w:hideMark/>
          </w:tcPr>
          <w:p w14:paraId="0DDA27BE"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w:t>
            </w:r>
          </w:p>
        </w:tc>
        <w:tc>
          <w:tcPr>
            <w:tcW w:w="266" w:type="dxa"/>
            <w:tcBorders>
              <w:top w:val="nil"/>
              <w:left w:val="nil"/>
              <w:bottom w:val="nil"/>
              <w:right w:val="nil"/>
            </w:tcBorders>
            <w:shd w:val="clear" w:color="auto" w:fill="auto"/>
            <w:noWrap/>
            <w:vAlign w:val="bottom"/>
            <w:hideMark/>
          </w:tcPr>
          <w:p w14:paraId="05334CB7"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1C12ADCC"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Knowledge/use of conflict resolution</w:t>
            </w:r>
          </w:p>
        </w:tc>
      </w:tr>
      <w:tr w:rsidR="00DF3F86" w:rsidRPr="00DF3F86" w14:paraId="6975B777" w14:textId="77777777" w:rsidTr="00DF3F86">
        <w:trPr>
          <w:trHeight w:val="315"/>
        </w:trPr>
        <w:tc>
          <w:tcPr>
            <w:tcW w:w="746" w:type="dxa"/>
            <w:tcBorders>
              <w:top w:val="nil"/>
              <w:left w:val="nil"/>
              <w:bottom w:val="nil"/>
              <w:right w:val="nil"/>
            </w:tcBorders>
            <w:shd w:val="clear" w:color="auto" w:fill="auto"/>
            <w:noWrap/>
            <w:vAlign w:val="bottom"/>
            <w:hideMark/>
          </w:tcPr>
          <w:p w14:paraId="501CD3E7"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7CFA190F" w14:textId="77777777" w:rsidR="00DF3F86" w:rsidRPr="00DF3F86" w:rsidRDefault="00DF3F86" w:rsidP="00DF3F86">
            <w:pPr>
              <w:spacing w:before="0" w:after="0" w:line="240" w:lineRule="auto"/>
              <w:jc w:val="center"/>
              <w:rPr>
                <w:rFonts w:eastAsia="Times New Roman"/>
                <w:b/>
                <w:bCs/>
                <w:sz w:val="18"/>
                <w:szCs w:val="18"/>
              </w:rPr>
            </w:pPr>
            <w:r w:rsidRPr="00DF3F86">
              <w:rPr>
                <w:rFonts w:eastAsia="Times New Roman"/>
                <w:b/>
                <w:bCs/>
                <w:sz w:val="18"/>
                <w:szCs w:val="18"/>
              </w:rPr>
              <w:t>1.3</w:t>
            </w:r>
          </w:p>
        </w:tc>
        <w:tc>
          <w:tcPr>
            <w:tcW w:w="576" w:type="dxa"/>
            <w:tcBorders>
              <w:top w:val="nil"/>
              <w:left w:val="nil"/>
              <w:bottom w:val="nil"/>
              <w:right w:val="nil"/>
            </w:tcBorders>
            <w:shd w:val="clear" w:color="auto" w:fill="auto"/>
            <w:noWrap/>
            <w:vAlign w:val="bottom"/>
            <w:hideMark/>
          </w:tcPr>
          <w:p w14:paraId="21A053FB"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23%</w:t>
            </w:r>
          </w:p>
        </w:tc>
        <w:tc>
          <w:tcPr>
            <w:tcW w:w="576" w:type="dxa"/>
            <w:tcBorders>
              <w:top w:val="nil"/>
              <w:left w:val="nil"/>
              <w:bottom w:val="nil"/>
              <w:right w:val="nil"/>
            </w:tcBorders>
            <w:shd w:val="clear" w:color="auto" w:fill="auto"/>
            <w:noWrap/>
            <w:vAlign w:val="bottom"/>
            <w:hideMark/>
          </w:tcPr>
          <w:p w14:paraId="1EC27DA8"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44%</w:t>
            </w:r>
          </w:p>
        </w:tc>
        <w:tc>
          <w:tcPr>
            <w:tcW w:w="576" w:type="dxa"/>
            <w:tcBorders>
              <w:top w:val="nil"/>
              <w:left w:val="nil"/>
              <w:bottom w:val="nil"/>
              <w:right w:val="nil"/>
            </w:tcBorders>
            <w:shd w:val="clear" w:color="auto" w:fill="auto"/>
            <w:noWrap/>
            <w:vAlign w:val="bottom"/>
            <w:hideMark/>
          </w:tcPr>
          <w:p w14:paraId="265B55B9" w14:textId="77777777" w:rsidR="00DF3F86" w:rsidRPr="00DF3F86" w:rsidRDefault="00DF3F86" w:rsidP="00DF3F86">
            <w:pPr>
              <w:spacing w:before="0" w:after="0" w:line="240" w:lineRule="auto"/>
              <w:jc w:val="right"/>
              <w:rPr>
                <w:rFonts w:eastAsia="Times New Roman"/>
                <w:b/>
                <w:bCs/>
                <w:sz w:val="18"/>
                <w:szCs w:val="18"/>
                <w:highlight w:val="yellow"/>
              </w:rPr>
            </w:pPr>
            <w:r w:rsidRPr="00DF3F86">
              <w:rPr>
                <w:rFonts w:eastAsia="Times New Roman"/>
                <w:b/>
                <w:bCs/>
                <w:sz w:val="18"/>
                <w:szCs w:val="18"/>
                <w:highlight w:val="yellow"/>
              </w:rPr>
              <w:t>32%</w:t>
            </w:r>
          </w:p>
        </w:tc>
        <w:tc>
          <w:tcPr>
            <w:tcW w:w="266" w:type="dxa"/>
            <w:tcBorders>
              <w:top w:val="nil"/>
              <w:left w:val="nil"/>
              <w:bottom w:val="nil"/>
              <w:right w:val="nil"/>
            </w:tcBorders>
            <w:shd w:val="clear" w:color="auto" w:fill="auto"/>
            <w:noWrap/>
            <w:vAlign w:val="bottom"/>
            <w:hideMark/>
          </w:tcPr>
          <w:p w14:paraId="18F45CD2" w14:textId="77777777" w:rsidR="00DF3F86" w:rsidRPr="00DF3F86" w:rsidRDefault="00DF3F86" w:rsidP="00DF3F86">
            <w:pPr>
              <w:spacing w:before="0" w:after="0" w:line="240" w:lineRule="auto"/>
              <w:rPr>
                <w:rFonts w:eastAsia="Times New Roman"/>
                <w:b/>
                <w:bCs/>
                <w:sz w:val="18"/>
                <w:szCs w:val="18"/>
              </w:rPr>
            </w:pPr>
          </w:p>
        </w:tc>
        <w:tc>
          <w:tcPr>
            <w:tcW w:w="531" w:type="dxa"/>
            <w:tcBorders>
              <w:top w:val="nil"/>
              <w:left w:val="nil"/>
              <w:bottom w:val="nil"/>
              <w:right w:val="nil"/>
            </w:tcBorders>
            <w:shd w:val="clear" w:color="auto" w:fill="auto"/>
            <w:noWrap/>
            <w:vAlign w:val="bottom"/>
            <w:hideMark/>
          </w:tcPr>
          <w:p w14:paraId="7199AA1F" w14:textId="77777777" w:rsidR="00DF3F86" w:rsidRPr="00DF3F86" w:rsidRDefault="00DF3F86" w:rsidP="00DF3F86">
            <w:pPr>
              <w:spacing w:before="0" w:after="0" w:line="240" w:lineRule="auto"/>
              <w:jc w:val="center"/>
              <w:rPr>
                <w:rFonts w:eastAsia="Times New Roman"/>
                <w:b/>
                <w:bCs/>
                <w:sz w:val="18"/>
                <w:szCs w:val="18"/>
              </w:rPr>
            </w:pPr>
            <w:r w:rsidRPr="00DF3F86">
              <w:rPr>
                <w:rFonts w:eastAsia="Times New Roman"/>
                <w:b/>
                <w:bCs/>
                <w:sz w:val="18"/>
                <w:szCs w:val="18"/>
              </w:rPr>
              <w:t>2.3</w:t>
            </w:r>
          </w:p>
        </w:tc>
        <w:tc>
          <w:tcPr>
            <w:tcW w:w="576" w:type="dxa"/>
            <w:tcBorders>
              <w:top w:val="nil"/>
              <w:left w:val="nil"/>
              <w:bottom w:val="nil"/>
              <w:right w:val="nil"/>
            </w:tcBorders>
            <w:shd w:val="clear" w:color="auto" w:fill="auto"/>
            <w:noWrap/>
            <w:vAlign w:val="bottom"/>
            <w:hideMark/>
          </w:tcPr>
          <w:p w14:paraId="2F204C31"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33%</w:t>
            </w:r>
          </w:p>
        </w:tc>
        <w:tc>
          <w:tcPr>
            <w:tcW w:w="576" w:type="dxa"/>
            <w:tcBorders>
              <w:top w:val="nil"/>
              <w:left w:val="nil"/>
              <w:bottom w:val="nil"/>
              <w:right w:val="nil"/>
            </w:tcBorders>
            <w:shd w:val="clear" w:color="auto" w:fill="auto"/>
            <w:noWrap/>
            <w:vAlign w:val="bottom"/>
            <w:hideMark/>
          </w:tcPr>
          <w:p w14:paraId="0517C10E"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58%</w:t>
            </w:r>
          </w:p>
        </w:tc>
        <w:tc>
          <w:tcPr>
            <w:tcW w:w="576" w:type="dxa"/>
            <w:tcBorders>
              <w:top w:val="nil"/>
              <w:left w:val="nil"/>
              <w:bottom w:val="nil"/>
              <w:right w:val="nil"/>
            </w:tcBorders>
            <w:shd w:val="clear" w:color="auto" w:fill="auto"/>
            <w:noWrap/>
            <w:vAlign w:val="bottom"/>
            <w:hideMark/>
          </w:tcPr>
          <w:p w14:paraId="7B55F3F9"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10%</w:t>
            </w:r>
          </w:p>
        </w:tc>
        <w:tc>
          <w:tcPr>
            <w:tcW w:w="266" w:type="dxa"/>
            <w:tcBorders>
              <w:top w:val="nil"/>
              <w:left w:val="nil"/>
              <w:bottom w:val="nil"/>
              <w:right w:val="nil"/>
            </w:tcBorders>
            <w:shd w:val="clear" w:color="auto" w:fill="auto"/>
            <w:noWrap/>
            <w:vAlign w:val="bottom"/>
            <w:hideMark/>
          </w:tcPr>
          <w:p w14:paraId="2B7D9902" w14:textId="77777777" w:rsidR="00DF3F86" w:rsidRPr="00DF3F86" w:rsidRDefault="00DF3F86" w:rsidP="00DF3F86">
            <w:pPr>
              <w:spacing w:before="0" w:after="0" w:line="240" w:lineRule="auto"/>
              <w:rPr>
                <w:rFonts w:eastAsia="Times New Roman"/>
                <w:b/>
                <w:bCs/>
                <w:sz w:val="18"/>
                <w:szCs w:val="18"/>
              </w:rPr>
            </w:pPr>
          </w:p>
        </w:tc>
        <w:tc>
          <w:tcPr>
            <w:tcW w:w="4283" w:type="dxa"/>
            <w:tcBorders>
              <w:top w:val="nil"/>
              <w:left w:val="nil"/>
              <w:bottom w:val="nil"/>
              <w:right w:val="nil"/>
            </w:tcBorders>
            <w:shd w:val="clear" w:color="auto" w:fill="auto"/>
            <w:noWrap/>
            <w:vAlign w:val="center"/>
            <w:hideMark/>
          </w:tcPr>
          <w:p w14:paraId="0C63BDD1" w14:textId="77777777" w:rsidR="00DF3F86" w:rsidRPr="00DF3F86" w:rsidRDefault="00DF3F86" w:rsidP="00DF3F86">
            <w:pPr>
              <w:spacing w:before="0" w:after="0" w:line="240" w:lineRule="auto"/>
              <w:rPr>
                <w:rFonts w:eastAsia="Times New Roman"/>
                <w:b/>
                <w:bCs/>
                <w:color w:val="000000"/>
                <w:sz w:val="18"/>
                <w:szCs w:val="18"/>
              </w:rPr>
            </w:pPr>
            <w:r w:rsidRPr="00DF3F86">
              <w:rPr>
                <w:rFonts w:eastAsia="Times New Roman"/>
                <w:b/>
                <w:bCs/>
                <w:color w:val="000000"/>
                <w:sz w:val="18"/>
                <w:szCs w:val="18"/>
              </w:rPr>
              <w:t>Community</w:t>
            </w:r>
          </w:p>
        </w:tc>
      </w:tr>
      <w:tr w:rsidR="00DF3F86" w:rsidRPr="00DF3F86" w14:paraId="25BB02DE" w14:textId="77777777" w:rsidTr="00DF3F86">
        <w:trPr>
          <w:trHeight w:val="315"/>
        </w:trPr>
        <w:tc>
          <w:tcPr>
            <w:tcW w:w="746" w:type="dxa"/>
            <w:tcBorders>
              <w:top w:val="nil"/>
              <w:left w:val="nil"/>
              <w:bottom w:val="nil"/>
              <w:right w:val="nil"/>
            </w:tcBorders>
            <w:shd w:val="clear" w:color="auto" w:fill="auto"/>
            <w:noWrap/>
            <w:vAlign w:val="bottom"/>
            <w:hideMark/>
          </w:tcPr>
          <w:p w14:paraId="640C4771"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461D9384"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1.3a</w:t>
            </w:r>
          </w:p>
        </w:tc>
        <w:tc>
          <w:tcPr>
            <w:tcW w:w="576" w:type="dxa"/>
            <w:tcBorders>
              <w:top w:val="nil"/>
              <w:left w:val="nil"/>
              <w:bottom w:val="nil"/>
              <w:right w:val="nil"/>
            </w:tcBorders>
            <w:shd w:val="clear" w:color="auto" w:fill="auto"/>
            <w:noWrap/>
            <w:vAlign w:val="bottom"/>
            <w:hideMark/>
          </w:tcPr>
          <w:p w14:paraId="77B10425"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34%</w:t>
            </w:r>
          </w:p>
        </w:tc>
        <w:tc>
          <w:tcPr>
            <w:tcW w:w="576" w:type="dxa"/>
            <w:tcBorders>
              <w:top w:val="nil"/>
              <w:left w:val="nil"/>
              <w:bottom w:val="nil"/>
              <w:right w:val="nil"/>
            </w:tcBorders>
            <w:shd w:val="clear" w:color="auto" w:fill="auto"/>
            <w:noWrap/>
            <w:vAlign w:val="bottom"/>
            <w:hideMark/>
          </w:tcPr>
          <w:p w14:paraId="5CF8ED6F"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55%</w:t>
            </w:r>
          </w:p>
        </w:tc>
        <w:tc>
          <w:tcPr>
            <w:tcW w:w="576" w:type="dxa"/>
            <w:tcBorders>
              <w:top w:val="nil"/>
              <w:left w:val="nil"/>
              <w:bottom w:val="nil"/>
              <w:right w:val="nil"/>
            </w:tcBorders>
            <w:shd w:val="clear" w:color="auto" w:fill="auto"/>
            <w:noWrap/>
            <w:vAlign w:val="bottom"/>
            <w:hideMark/>
          </w:tcPr>
          <w:p w14:paraId="54B9AE0A"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11%</w:t>
            </w:r>
          </w:p>
        </w:tc>
        <w:tc>
          <w:tcPr>
            <w:tcW w:w="266" w:type="dxa"/>
            <w:tcBorders>
              <w:top w:val="nil"/>
              <w:left w:val="nil"/>
              <w:bottom w:val="nil"/>
              <w:right w:val="nil"/>
            </w:tcBorders>
            <w:shd w:val="clear" w:color="auto" w:fill="auto"/>
            <w:noWrap/>
            <w:vAlign w:val="bottom"/>
            <w:hideMark/>
          </w:tcPr>
          <w:p w14:paraId="725692FE"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7E52008C"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2.3a</w:t>
            </w:r>
          </w:p>
        </w:tc>
        <w:tc>
          <w:tcPr>
            <w:tcW w:w="576" w:type="dxa"/>
            <w:tcBorders>
              <w:top w:val="nil"/>
              <w:left w:val="nil"/>
              <w:bottom w:val="nil"/>
              <w:right w:val="nil"/>
            </w:tcBorders>
            <w:shd w:val="clear" w:color="auto" w:fill="auto"/>
            <w:noWrap/>
            <w:vAlign w:val="bottom"/>
            <w:hideMark/>
          </w:tcPr>
          <w:p w14:paraId="2AEBF8D1"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58%</w:t>
            </w:r>
          </w:p>
        </w:tc>
        <w:tc>
          <w:tcPr>
            <w:tcW w:w="576" w:type="dxa"/>
            <w:tcBorders>
              <w:top w:val="nil"/>
              <w:left w:val="nil"/>
              <w:bottom w:val="nil"/>
              <w:right w:val="nil"/>
            </w:tcBorders>
            <w:shd w:val="clear" w:color="auto" w:fill="auto"/>
            <w:noWrap/>
            <w:vAlign w:val="bottom"/>
            <w:hideMark/>
          </w:tcPr>
          <w:p w14:paraId="39B52A71"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36%</w:t>
            </w:r>
          </w:p>
        </w:tc>
        <w:tc>
          <w:tcPr>
            <w:tcW w:w="576" w:type="dxa"/>
            <w:tcBorders>
              <w:top w:val="nil"/>
              <w:left w:val="nil"/>
              <w:bottom w:val="nil"/>
              <w:right w:val="nil"/>
            </w:tcBorders>
            <w:shd w:val="clear" w:color="auto" w:fill="auto"/>
            <w:noWrap/>
            <w:vAlign w:val="bottom"/>
            <w:hideMark/>
          </w:tcPr>
          <w:p w14:paraId="7629F396"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w:t>
            </w:r>
          </w:p>
        </w:tc>
        <w:tc>
          <w:tcPr>
            <w:tcW w:w="266" w:type="dxa"/>
            <w:tcBorders>
              <w:top w:val="nil"/>
              <w:left w:val="nil"/>
              <w:bottom w:val="nil"/>
              <w:right w:val="nil"/>
            </w:tcBorders>
            <w:shd w:val="clear" w:color="auto" w:fill="auto"/>
            <w:noWrap/>
            <w:vAlign w:val="bottom"/>
            <w:hideMark/>
          </w:tcPr>
          <w:p w14:paraId="4272A6B8"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4372C9F8"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Professionalism with peers, students, etc.</w:t>
            </w:r>
          </w:p>
        </w:tc>
      </w:tr>
      <w:tr w:rsidR="00DF3F86" w:rsidRPr="00DF3F86" w14:paraId="12F59386" w14:textId="77777777" w:rsidTr="00DF3F86">
        <w:trPr>
          <w:trHeight w:val="315"/>
        </w:trPr>
        <w:tc>
          <w:tcPr>
            <w:tcW w:w="746" w:type="dxa"/>
            <w:tcBorders>
              <w:top w:val="nil"/>
              <w:left w:val="nil"/>
              <w:bottom w:val="nil"/>
              <w:right w:val="nil"/>
            </w:tcBorders>
            <w:shd w:val="clear" w:color="auto" w:fill="auto"/>
            <w:noWrap/>
            <w:vAlign w:val="bottom"/>
            <w:hideMark/>
          </w:tcPr>
          <w:p w14:paraId="1269B4F9"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7C508261"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1.3b</w:t>
            </w:r>
          </w:p>
        </w:tc>
        <w:tc>
          <w:tcPr>
            <w:tcW w:w="576" w:type="dxa"/>
            <w:tcBorders>
              <w:top w:val="nil"/>
              <w:left w:val="nil"/>
              <w:bottom w:val="nil"/>
              <w:right w:val="nil"/>
            </w:tcBorders>
            <w:shd w:val="clear" w:color="auto" w:fill="auto"/>
            <w:noWrap/>
            <w:vAlign w:val="bottom"/>
            <w:hideMark/>
          </w:tcPr>
          <w:p w14:paraId="37A6BFD8"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25%</w:t>
            </w:r>
          </w:p>
        </w:tc>
        <w:tc>
          <w:tcPr>
            <w:tcW w:w="576" w:type="dxa"/>
            <w:tcBorders>
              <w:top w:val="nil"/>
              <w:left w:val="nil"/>
              <w:bottom w:val="nil"/>
              <w:right w:val="nil"/>
            </w:tcBorders>
            <w:shd w:val="clear" w:color="auto" w:fill="auto"/>
            <w:noWrap/>
            <w:vAlign w:val="bottom"/>
            <w:hideMark/>
          </w:tcPr>
          <w:p w14:paraId="131A9E02"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38%</w:t>
            </w:r>
          </w:p>
        </w:tc>
        <w:tc>
          <w:tcPr>
            <w:tcW w:w="576" w:type="dxa"/>
            <w:tcBorders>
              <w:top w:val="nil"/>
              <w:left w:val="nil"/>
              <w:bottom w:val="nil"/>
              <w:right w:val="nil"/>
            </w:tcBorders>
            <w:shd w:val="clear" w:color="auto" w:fill="auto"/>
            <w:noWrap/>
            <w:vAlign w:val="bottom"/>
            <w:hideMark/>
          </w:tcPr>
          <w:p w14:paraId="7F2C72B6"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36%</w:t>
            </w:r>
          </w:p>
        </w:tc>
        <w:tc>
          <w:tcPr>
            <w:tcW w:w="266" w:type="dxa"/>
            <w:tcBorders>
              <w:top w:val="nil"/>
              <w:left w:val="nil"/>
              <w:bottom w:val="nil"/>
              <w:right w:val="nil"/>
            </w:tcBorders>
            <w:shd w:val="clear" w:color="auto" w:fill="auto"/>
            <w:noWrap/>
            <w:vAlign w:val="bottom"/>
            <w:hideMark/>
          </w:tcPr>
          <w:p w14:paraId="6739B4F7"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2BE04385"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2.3b</w:t>
            </w:r>
          </w:p>
        </w:tc>
        <w:tc>
          <w:tcPr>
            <w:tcW w:w="576" w:type="dxa"/>
            <w:tcBorders>
              <w:top w:val="nil"/>
              <w:left w:val="nil"/>
              <w:bottom w:val="nil"/>
              <w:right w:val="nil"/>
            </w:tcBorders>
            <w:shd w:val="clear" w:color="auto" w:fill="auto"/>
            <w:noWrap/>
            <w:vAlign w:val="bottom"/>
            <w:hideMark/>
          </w:tcPr>
          <w:p w14:paraId="558B0C59"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33%</w:t>
            </w:r>
          </w:p>
        </w:tc>
        <w:tc>
          <w:tcPr>
            <w:tcW w:w="576" w:type="dxa"/>
            <w:tcBorders>
              <w:top w:val="nil"/>
              <w:left w:val="nil"/>
              <w:bottom w:val="nil"/>
              <w:right w:val="nil"/>
            </w:tcBorders>
            <w:shd w:val="clear" w:color="auto" w:fill="auto"/>
            <w:noWrap/>
            <w:vAlign w:val="bottom"/>
            <w:hideMark/>
          </w:tcPr>
          <w:p w14:paraId="526593AA"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55%</w:t>
            </w:r>
          </w:p>
        </w:tc>
        <w:tc>
          <w:tcPr>
            <w:tcW w:w="576" w:type="dxa"/>
            <w:tcBorders>
              <w:top w:val="nil"/>
              <w:left w:val="nil"/>
              <w:bottom w:val="nil"/>
              <w:right w:val="nil"/>
            </w:tcBorders>
            <w:shd w:val="clear" w:color="auto" w:fill="auto"/>
            <w:noWrap/>
            <w:vAlign w:val="bottom"/>
            <w:hideMark/>
          </w:tcPr>
          <w:p w14:paraId="1DDEB8BA"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12%</w:t>
            </w:r>
          </w:p>
        </w:tc>
        <w:tc>
          <w:tcPr>
            <w:tcW w:w="266" w:type="dxa"/>
            <w:tcBorders>
              <w:top w:val="nil"/>
              <w:left w:val="nil"/>
              <w:bottom w:val="nil"/>
              <w:right w:val="nil"/>
            </w:tcBorders>
            <w:shd w:val="clear" w:color="auto" w:fill="auto"/>
            <w:noWrap/>
            <w:vAlign w:val="bottom"/>
            <w:hideMark/>
          </w:tcPr>
          <w:p w14:paraId="0461747E"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29BEACBD"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Involvement in community</w:t>
            </w:r>
          </w:p>
        </w:tc>
      </w:tr>
      <w:tr w:rsidR="00DF3F86" w:rsidRPr="00DF3F86" w14:paraId="342B84E5" w14:textId="77777777" w:rsidTr="00DF3F86">
        <w:trPr>
          <w:trHeight w:val="315"/>
        </w:trPr>
        <w:tc>
          <w:tcPr>
            <w:tcW w:w="746" w:type="dxa"/>
            <w:tcBorders>
              <w:top w:val="nil"/>
              <w:left w:val="nil"/>
              <w:bottom w:val="nil"/>
              <w:right w:val="nil"/>
            </w:tcBorders>
            <w:shd w:val="clear" w:color="auto" w:fill="auto"/>
            <w:noWrap/>
            <w:vAlign w:val="bottom"/>
            <w:hideMark/>
          </w:tcPr>
          <w:p w14:paraId="72292C61"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309887FD"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1.3c</w:t>
            </w:r>
          </w:p>
        </w:tc>
        <w:tc>
          <w:tcPr>
            <w:tcW w:w="576" w:type="dxa"/>
            <w:tcBorders>
              <w:top w:val="nil"/>
              <w:left w:val="nil"/>
              <w:bottom w:val="nil"/>
              <w:right w:val="nil"/>
            </w:tcBorders>
            <w:shd w:val="clear" w:color="auto" w:fill="auto"/>
            <w:noWrap/>
            <w:vAlign w:val="bottom"/>
            <w:hideMark/>
          </w:tcPr>
          <w:p w14:paraId="66A5CD66"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15%</w:t>
            </w:r>
          </w:p>
        </w:tc>
        <w:tc>
          <w:tcPr>
            <w:tcW w:w="576" w:type="dxa"/>
            <w:tcBorders>
              <w:top w:val="nil"/>
              <w:left w:val="nil"/>
              <w:bottom w:val="nil"/>
              <w:right w:val="nil"/>
            </w:tcBorders>
            <w:shd w:val="clear" w:color="auto" w:fill="auto"/>
            <w:noWrap/>
            <w:vAlign w:val="bottom"/>
            <w:hideMark/>
          </w:tcPr>
          <w:p w14:paraId="01C5AFC1"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31%</w:t>
            </w:r>
          </w:p>
        </w:tc>
        <w:tc>
          <w:tcPr>
            <w:tcW w:w="576" w:type="dxa"/>
            <w:tcBorders>
              <w:top w:val="nil"/>
              <w:left w:val="nil"/>
              <w:bottom w:val="nil"/>
              <w:right w:val="nil"/>
            </w:tcBorders>
            <w:shd w:val="clear" w:color="auto" w:fill="auto"/>
            <w:noWrap/>
            <w:vAlign w:val="bottom"/>
            <w:hideMark/>
          </w:tcPr>
          <w:p w14:paraId="17F42F98"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52%</w:t>
            </w:r>
          </w:p>
        </w:tc>
        <w:tc>
          <w:tcPr>
            <w:tcW w:w="266" w:type="dxa"/>
            <w:tcBorders>
              <w:top w:val="nil"/>
              <w:left w:val="nil"/>
              <w:bottom w:val="nil"/>
              <w:right w:val="nil"/>
            </w:tcBorders>
            <w:shd w:val="clear" w:color="auto" w:fill="auto"/>
            <w:noWrap/>
            <w:vAlign w:val="bottom"/>
            <w:hideMark/>
          </w:tcPr>
          <w:p w14:paraId="0DD2A1B5"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64924BCF"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2.3c</w:t>
            </w:r>
          </w:p>
        </w:tc>
        <w:tc>
          <w:tcPr>
            <w:tcW w:w="576" w:type="dxa"/>
            <w:tcBorders>
              <w:top w:val="nil"/>
              <w:left w:val="nil"/>
              <w:bottom w:val="nil"/>
              <w:right w:val="nil"/>
            </w:tcBorders>
            <w:shd w:val="clear" w:color="auto" w:fill="auto"/>
            <w:noWrap/>
            <w:vAlign w:val="bottom"/>
            <w:hideMark/>
          </w:tcPr>
          <w:p w14:paraId="5B7320BC"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21%</w:t>
            </w:r>
          </w:p>
        </w:tc>
        <w:tc>
          <w:tcPr>
            <w:tcW w:w="576" w:type="dxa"/>
            <w:tcBorders>
              <w:top w:val="nil"/>
              <w:left w:val="nil"/>
              <w:bottom w:val="nil"/>
              <w:right w:val="nil"/>
            </w:tcBorders>
            <w:shd w:val="clear" w:color="auto" w:fill="auto"/>
            <w:noWrap/>
            <w:vAlign w:val="bottom"/>
            <w:hideMark/>
          </w:tcPr>
          <w:p w14:paraId="6ABBB2A6"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67%</w:t>
            </w:r>
          </w:p>
        </w:tc>
        <w:tc>
          <w:tcPr>
            <w:tcW w:w="576" w:type="dxa"/>
            <w:tcBorders>
              <w:top w:val="nil"/>
              <w:left w:val="nil"/>
              <w:bottom w:val="nil"/>
              <w:right w:val="nil"/>
            </w:tcBorders>
            <w:shd w:val="clear" w:color="auto" w:fill="auto"/>
            <w:noWrap/>
            <w:vAlign w:val="bottom"/>
            <w:hideMark/>
          </w:tcPr>
          <w:p w14:paraId="3DC168CA"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12%</w:t>
            </w:r>
          </w:p>
        </w:tc>
        <w:tc>
          <w:tcPr>
            <w:tcW w:w="266" w:type="dxa"/>
            <w:tcBorders>
              <w:top w:val="nil"/>
              <w:left w:val="nil"/>
              <w:bottom w:val="nil"/>
              <w:right w:val="nil"/>
            </w:tcBorders>
            <w:shd w:val="clear" w:color="auto" w:fill="auto"/>
            <w:noWrap/>
            <w:vAlign w:val="bottom"/>
            <w:hideMark/>
          </w:tcPr>
          <w:p w14:paraId="3FDDE918"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3F442425"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Participates with SKC learning community</w:t>
            </w:r>
          </w:p>
        </w:tc>
      </w:tr>
      <w:tr w:rsidR="00DF3F86" w:rsidRPr="00DF3F86" w14:paraId="298C8F80" w14:textId="77777777" w:rsidTr="00DF3F86">
        <w:trPr>
          <w:trHeight w:val="315"/>
        </w:trPr>
        <w:tc>
          <w:tcPr>
            <w:tcW w:w="746" w:type="dxa"/>
            <w:tcBorders>
              <w:top w:val="nil"/>
              <w:left w:val="nil"/>
              <w:bottom w:val="nil"/>
              <w:right w:val="nil"/>
            </w:tcBorders>
            <w:shd w:val="clear" w:color="auto" w:fill="auto"/>
            <w:noWrap/>
            <w:vAlign w:val="bottom"/>
            <w:hideMark/>
          </w:tcPr>
          <w:p w14:paraId="04961CC9"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0DDB0B76"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1.3d</w:t>
            </w:r>
          </w:p>
        </w:tc>
        <w:tc>
          <w:tcPr>
            <w:tcW w:w="576" w:type="dxa"/>
            <w:tcBorders>
              <w:top w:val="nil"/>
              <w:left w:val="nil"/>
              <w:bottom w:val="nil"/>
              <w:right w:val="nil"/>
            </w:tcBorders>
            <w:shd w:val="clear" w:color="auto" w:fill="auto"/>
            <w:noWrap/>
            <w:vAlign w:val="bottom"/>
            <w:hideMark/>
          </w:tcPr>
          <w:p w14:paraId="27536970"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19%</w:t>
            </w:r>
          </w:p>
        </w:tc>
        <w:tc>
          <w:tcPr>
            <w:tcW w:w="576" w:type="dxa"/>
            <w:tcBorders>
              <w:top w:val="nil"/>
              <w:left w:val="nil"/>
              <w:bottom w:val="nil"/>
              <w:right w:val="nil"/>
            </w:tcBorders>
            <w:shd w:val="clear" w:color="auto" w:fill="auto"/>
            <w:noWrap/>
            <w:vAlign w:val="bottom"/>
            <w:hideMark/>
          </w:tcPr>
          <w:p w14:paraId="4600B0AC"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51%</w:t>
            </w:r>
          </w:p>
        </w:tc>
        <w:tc>
          <w:tcPr>
            <w:tcW w:w="576" w:type="dxa"/>
            <w:tcBorders>
              <w:top w:val="nil"/>
              <w:left w:val="nil"/>
              <w:bottom w:val="nil"/>
              <w:right w:val="nil"/>
            </w:tcBorders>
            <w:shd w:val="clear" w:color="auto" w:fill="auto"/>
            <w:noWrap/>
            <w:vAlign w:val="bottom"/>
            <w:hideMark/>
          </w:tcPr>
          <w:p w14:paraId="23869F29"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30%</w:t>
            </w:r>
          </w:p>
        </w:tc>
        <w:tc>
          <w:tcPr>
            <w:tcW w:w="266" w:type="dxa"/>
            <w:tcBorders>
              <w:top w:val="nil"/>
              <w:left w:val="nil"/>
              <w:bottom w:val="nil"/>
              <w:right w:val="nil"/>
            </w:tcBorders>
            <w:shd w:val="clear" w:color="auto" w:fill="auto"/>
            <w:noWrap/>
            <w:vAlign w:val="bottom"/>
            <w:hideMark/>
          </w:tcPr>
          <w:p w14:paraId="7E94B837"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2A6C0B65"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2.3d</w:t>
            </w:r>
          </w:p>
        </w:tc>
        <w:tc>
          <w:tcPr>
            <w:tcW w:w="576" w:type="dxa"/>
            <w:tcBorders>
              <w:top w:val="nil"/>
              <w:left w:val="nil"/>
              <w:bottom w:val="nil"/>
              <w:right w:val="nil"/>
            </w:tcBorders>
            <w:shd w:val="clear" w:color="auto" w:fill="auto"/>
            <w:noWrap/>
            <w:vAlign w:val="bottom"/>
            <w:hideMark/>
          </w:tcPr>
          <w:p w14:paraId="0DFDED73"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18%</w:t>
            </w:r>
          </w:p>
        </w:tc>
        <w:tc>
          <w:tcPr>
            <w:tcW w:w="576" w:type="dxa"/>
            <w:tcBorders>
              <w:top w:val="nil"/>
              <w:left w:val="nil"/>
              <w:bottom w:val="nil"/>
              <w:right w:val="nil"/>
            </w:tcBorders>
            <w:shd w:val="clear" w:color="auto" w:fill="auto"/>
            <w:noWrap/>
            <w:vAlign w:val="bottom"/>
            <w:hideMark/>
          </w:tcPr>
          <w:p w14:paraId="618AFA64"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73%</w:t>
            </w:r>
          </w:p>
        </w:tc>
        <w:tc>
          <w:tcPr>
            <w:tcW w:w="576" w:type="dxa"/>
            <w:tcBorders>
              <w:top w:val="nil"/>
              <w:left w:val="nil"/>
              <w:bottom w:val="nil"/>
              <w:right w:val="nil"/>
            </w:tcBorders>
            <w:shd w:val="clear" w:color="auto" w:fill="auto"/>
            <w:noWrap/>
            <w:vAlign w:val="bottom"/>
            <w:hideMark/>
          </w:tcPr>
          <w:p w14:paraId="2BB4AF36"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9%</w:t>
            </w:r>
          </w:p>
        </w:tc>
        <w:tc>
          <w:tcPr>
            <w:tcW w:w="266" w:type="dxa"/>
            <w:tcBorders>
              <w:top w:val="nil"/>
              <w:left w:val="nil"/>
              <w:bottom w:val="nil"/>
              <w:right w:val="nil"/>
            </w:tcBorders>
            <w:shd w:val="clear" w:color="auto" w:fill="auto"/>
            <w:noWrap/>
            <w:vAlign w:val="bottom"/>
            <w:hideMark/>
          </w:tcPr>
          <w:p w14:paraId="4DB27F23"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53C4375B"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Knows/applies content to community</w:t>
            </w:r>
          </w:p>
        </w:tc>
      </w:tr>
      <w:tr w:rsidR="00DF3F86" w:rsidRPr="00DF3F86" w14:paraId="248DA62F" w14:textId="77777777" w:rsidTr="00DF3F86">
        <w:trPr>
          <w:trHeight w:val="315"/>
        </w:trPr>
        <w:tc>
          <w:tcPr>
            <w:tcW w:w="746" w:type="dxa"/>
            <w:tcBorders>
              <w:top w:val="nil"/>
              <w:left w:val="nil"/>
              <w:bottom w:val="nil"/>
              <w:right w:val="nil"/>
            </w:tcBorders>
            <w:shd w:val="clear" w:color="auto" w:fill="auto"/>
            <w:noWrap/>
            <w:vAlign w:val="bottom"/>
            <w:hideMark/>
          </w:tcPr>
          <w:p w14:paraId="1069FB7E"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4CE1CA05" w14:textId="77777777" w:rsidR="00DF3F86" w:rsidRPr="00DF3F86" w:rsidRDefault="00DF3F86" w:rsidP="00DF3F86">
            <w:pPr>
              <w:spacing w:before="0" w:after="0" w:line="240" w:lineRule="auto"/>
              <w:jc w:val="center"/>
              <w:rPr>
                <w:rFonts w:eastAsia="Times New Roman"/>
                <w:b/>
                <w:bCs/>
                <w:sz w:val="18"/>
                <w:szCs w:val="18"/>
              </w:rPr>
            </w:pPr>
            <w:r w:rsidRPr="00DF3F86">
              <w:rPr>
                <w:rFonts w:eastAsia="Times New Roman"/>
                <w:b/>
                <w:bCs/>
                <w:sz w:val="18"/>
                <w:szCs w:val="18"/>
              </w:rPr>
              <w:t>1.4</w:t>
            </w:r>
          </w:p>
        </w:tc>
        <w:tc>
          <w:tcPr>
            <w:tcW w:w="576" w:type="dxa"/>
            <w:tcBorders>
              <w:top w:val="nil"/>
              <w:left w:val="nil"/>
              <w:bottom w:val="nil"/>
              <w:right w:val="nil"/>
            </w:tcBorders>
            <w:shd w:val="clear" w:color="auto" w:fill="auto"/>
            <w:noWrap/>
            <w:vAlign w:val="bottom"/>
            <w:hideMark/>
          </w:tcPr>
          <w:p w14:paraId="0D0FF2F8"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27%</w:t>
            </w:r>
          </w:p>
        </w:tc>
        <w:tc>
          <w:tcPr>
            <w:tcW w:w="576" w:type="dxa"/>
            <w:tcBorders>
              <w:top w:val="nil"/>
              <w:left w:val="nil"/>
              <w:bottom w:val="nil"/>
              <w:right w:val="nil"/>
            </w:tcBorders>
            <w:shd w:val="clear" w:color="auto" w:fill="auto"/>
            <w:noWrap/>
            <w:vAlign w:val="bottom"/>
            <w:hideMark/>
          </w:tcPr>
          <w:p w14:paraId="37E8BCB5"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49%</w:t>
            </w:r>
          </w:p>
        </w:tc>
        <w:tc>
          <w:tcPr>
            <w:tcW w:w="576" w:type="dxa"/>
            <w:tcBorders>
              <w:top w:val="nil"/>
              <w:left w:val="nil"/>
              <w:bottom w:val="nil"/>
              <w:right w:val="nil"/>
            </w:tcBorders>
            <w:shd w:val="clear" w:color="auto" w:fill="auto"/>
            <w:noWrap/>
            <w:vAlign w:val="bottom"/>
            <w:hideMark/>
          </w:tcPr>
          <w:p w14:paraId="769C3076" w14:textId="77777777" w:rsidR="00DF3F86" w:rsidRPr="00DF3F86" w:rsidRDefault="00DF3F86" w:rsidP="00DF3F86">
            <w:pPr>
              <w:spacing w:before="0" w:after="0" w:line="240" w:lineRule="auto"/>
              <w:jc w:val="right"/>
              <w:rPr>
                <w:rFonts w:eastAsia="Times New Roman"/>
                <w:b/>
                <w:bCs/>
                <w:sz w:val="18"/>
                <w:szCs w:val="18"/>
                <w:highlight w:val="yellow"/>
              </w:rPr>
            </w:pPr>
            <w:r w:rsidRPr="00DF3F86">
              <w:rPr>
                <w:rFonts w:eastAsia="Times New Roman"/>
                <w:b/>
                <w:bCs/>
                <w:sz w:val="18"/>
                <w:szCs w:val="18"/>
                <w:highlight w:val="yellow"/>
              </w:rPr>
              <w:t>24%</w:t>
            </w:r>
          </w:p>
        </w:tc>
        <w:tc>
          <w:tcPr>
            <w:tcW w:w="266" w:type="dxa"/>
            <w:tcBorders>
              <w:top w:val="nil"/>
              <w:left w:val="nil"/>
              <w:bottom w:val="nil"/>
              <w:right w:val="nil"/>
            </w:tcBorders>
            <w:shd w:val="clear" w:color="auto" w:fill="auto"/>
            <w:noWrap/>
            <w:vAlign w:val="bottom"/>
            <w:hideMark/>
          </w:tcPr>
          <w:p w14:paraId="60FC0E5C" w14:textId="77777777" w:rsidR="00DF3F86" w:rsidRPr="00DF3F86" w:rsidRDefault="00DF3F86" w:rsidP="00DF3F86">
            <w:pPr>
              <w:spacing w:before="0" w:after="0" w:line="240" w:lineRule="auto"/>
              <w:rPr>
                <w:rFonts w:eastAsia="Times New Roman"/>
                <w:b/>
                <w:bCs/>
                <w:sz w:val="18"/>
                <w:szCs w:val="18"/>
              </w:rPr>
            </w:pPr>
          </w:p>
        </w:tc>
        <w:tc>
          <w:tcPr>
            <w:tcW w:w="531" w:type="dxa"/>
            <w:tcBorders>
              <w:top w:val="nil"/>
              <w:left w:val="nil"/>
              <w:bottom w:val="nil"/>
              <w:right w:val="nil"/>
            </w:tcBorders>
            <w:shd w:val="clear" w:color="auto" w:fill="auto"/>
            <w:noWrap/>
            <w:vAlign w:val="bottom"/>
            <w:hideMark/>
          </w:tcPr>
          <w:p w14:paraId="40BFC40D" w14:textId="77777777" w:rsidR="00DF3F86" w:rsidRPr="00DF3F86" w:rsidRDefault="00DF3F86" w:rsidP="00DF3F86">
            <w:pPr>
              <w:spacing w:before="0" w:after="0" w:line="240" w:lineRule="auto"/>
              <w:jc w:val="center"/>
              <w:rPr>
                <w:rFonts w:eastAsia="Times New Roman"/>
                <w:b/>
                <w:bCs/>
                <w:sz w:val="18"/>
                <w:szCs w:val="18"/>
              </w:rPr>
            </w:pPr>
            <w:r w:rsidRPr="00DF3F86">
              <w:rPr>
                <w:rFonts w:eastAsia="Times New Roman"/>
                <w:b/>
                <w:bCs/>
                <w:sz w:val="18"/>
                <w:szCs w:val="18"/>
              </w:rPr>
              <w:t>2.4</w:t>
            </w:r>
          </w:p>
        </w:tc>
        <w:tc>
          <w:tcPr>
            <w:tcW w:w="576" w:type="dxa"/>
            <w:tcBorders>
              <w:top w:val="nil"/>
              <w:left w:val="nil"/>
              <w:bottom w:val="nil"/>
              <w:right w:val="nil"/>
            </w:tcBorders>
            <w:shd w:val="clear" w:color="auto" w:fill="auto"/>
            <w:noWrap/>
            <w:vAlign w:val="bottom"/>
            <w:hideMark/>
          </w:tcPr>
          <w:p w14:paraId="17D0FE64"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39%</w:t>
            </w:r>
          </w:p>
        </w:tc>
        <w:tc>
          <w:tcPr>
            <w:tcW w:w="576" w:type="dxa"/>
            <w:tcBorders>
              <w:top w:val="nil"/>
              <w:left w:val="nil"/>
              <w:bottom w:val="nil"/>
              <w:right w:val="nil"/>
            </w:tcBorders>
            <w:shd w:val="clear" w:color="auto" w:fill="auto"/>
            <w:noWrap/>
            <w:vAlign w:val="bottom"/>
            <w:hideMark/>
          </w:tcPr>
          <w:p w14:paraId="47BC09BC"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55%</w:t>
            </w:r>
          </w:p>
        </w:tc>
        <w:tc>
          <w:tcPr>
            <w:tcW w:w="576" w:type="dxa"/>
            <w:tcBorders>
              <w:top w:val="nil"/>
              <w:left w:val="nil"/>
              <w:bottom w:val="nil"/>
              <w:right w:val="nil"/>
            </w:tcBorders>
            <w:shd w:val="clear" w:color="auto" w:fill="auto"/>
            <w:noWrap/>
            <w:vAlign w:val="bottom"/>
            <w:hideMark/>
          </w:tcPr>
          <w:p w14:paraId="13CE4F1C" w14:textId="77777777" w:rsidR="00DF3F86" w:rsidRPr="00DF3F86" w:rsidRDefault="00DF3F86" w:rsidP="00DF3F86">
            <w:pPr>
              <w:spacing w:before="0" w:after="0" w:line="240" w:lineRule="auto"/>
              <w:jc w:val="right"/>
              <w:rPr>
                <w:rFonts w:eastAsia="Times New Roman"/>
                <w:b/>
                <w:bCs/>
                <w:sz w:val="18"/>
                <w:szCs w:val="18"/>
              </w:rPr>
            </w:pPr>
            <w:r w:rsidRPr="00DF3F86">
              <w:rPr>
                <w:rFonts w:eastAsia="Times New Roman"/>
                <w:b/>
                <w:bCs/>
                <w:sz w:val="18"/>
                <w:szCs w:val="18"/>
              </w:rPr>
              <w:t>6%</w:t>
            </w:r>
          </w:p>
        </w:tc>
        <w:tc>
          <w:tcPr>
            <w:tcW w:w="266" w:type="dxa"/>
            <w:tcBorders>
              <w:top w:val="nil"/>
              <w:left w:val="nil"/>
              <w:bottom w:val="nil"/>
              <w:right w:val="nil"/>
            </w:tcBorders>
            <w:shd w:val="clear" w:color="auto" w:fill="auto"/>
            <w:noWrap/>
            <w:vAlign w:val="bottom"/>
            <w:hideMark/>
          </w:tcPr>
          <w:p w14:paraId="6CBDA888" w14:textId="77777777" w:rsidR="00DF3F86" w:rsidRPr="00DF3F86" w:rsidRDefault="00DF3F86" w:rsidP="00DF3F86">
            <w:pPr>
              <w:spacing w:before="0" w:after="0" w:line="240" w:lineRule="auto"/>
              <w:rPr>
                <w:rFonts w:eastAsia="Times New Roman"/>
                <w:b/>
                <w:bCs/>
                <w:sz w:val="18"/>
                <w:szCs w:val="18"/>
              </w:rPr>
            </w:pPr>
          </w:p>
        </w:tc>
        <w:tc>
          <w:tcPr>
            <w:tcW w:w="4283" w:type="dxa"/>
            <w:tcBorders>
              <w:top w:val="nil"/>
              <w:left w:val="nil"/>
              <w:bottom w:val="nil"/>
              <w:right w:val="nil"/>
            </w:tcBorders>
            <w:shd w:val="clear" w:color="auto" w:fill="auto"/>
            <w:noWrap/>
            <w:vAlign w:val="bottom"/>
            <w:hideMark/>
          </w:tcPr>
          <w:p w14:paraId="42F74E8F" w14:textId="77777777" w:rsidR="00DF3F86" w:rsidRPr="00DF3F86" w:rsidRDefault="00DF3F86" w:rsidP="00DF3F86">
            <w:pPr>
              <w:spacing w:before="0" w:after="0" w:line="240" w:lineRule="auto"/>
              <w:rPr>
                <w:rFonts w:eastAsia="Times New Roman"/>
                <w:b/>
                <w:bCs/>
                <w:color w:val="000000"/>
                <w:sz w:val="18"/>
                <w:szCs w:val="18"/>
              </w:rPr>
            </w:pPr>
            <w:r w:rsidRPr="00DF3F86">
              <w:rPr>
                <w:rFonts w:eastAsia="Times New Roman"/>
                <w:b/>
                <w:bCs/>
                <w:color w:val="000000"/>
                <w:sz w:val="18"/>
                <w:szCs w:val="18"/>
              </w:rPr>
              <w:t>Critical Thinking</w:t>
            </w:r>
          </w:p>
        </w:tc>
      </w:tr>
      <w:tr w:rsidR="00DF3F86" w:rsidRPr="00DF3F86" w14:paraId="58EA708B" w14:textId="77777777" w:rsidTr="00DF3F86">
        <w:trPr>
          <w:trHeight w:val="315"/>
        </w:trPr>
        <w:tc>
          <w:tcPr>
            <w:tcW w:w="746" w:type="dxa"/>
            <w:tcBorders>
              <w:top w:val="nil"/>
              <w:left w:val="nil"/>
              <w:bottom w:val="nil"/>
              <w:right w:val="nil"/>
            </w:tcBorders>
            <w:shd w:val="clear" w:color="auto" w:fill="auto"/>
            <w:noWrap/>
            <w:vAlign w:val="bottom"/>
            <w:hideMark/>
          </w:tcPr>
          <w:p w14:paraId="692D1191"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0107E63C"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1.4a</w:t>
            </w:r>
          </w:p>
        </w:tc>
        <w:tc>
          <w:tcPr>
            <w:tcW w:w="576" w:type="dxa"/>
            <w:tcBorders>
              <w:top w:val="nil"/>
              <w:left w:val="nil"/>
              <w:bottom w:val="nil"/>
              <w:right w:val="nil"/>
            </w:tcBorders>
            <w:shd w:val="clear" w:color="auto" w:fill="auto"/>
            <w:noWrap/>
            <w:vAlign w:val="bottom"/>
            <w:hideMark/>
          </w:tcPr>
          <w:p w14:paraId="27183742"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28%</w:t>
            </w:r>
          </w:p>
        </w:tc>
        <w:tc>
          <w:tcPr>
            <w:tcW w:w="576" w:type="dxa"/>
            <w:tcBorders>
              <w:top w:val="nil"/>
              <w:left w:val="nil"/>
              <w:bottom w:val="nil"/>
              <w:right w:val="nil"/>
            </w:tcBorders>
            <w:shd w:val="clear" w:color="auto" w:fill="auto"/>
            <w:noWrap/>
            <w:vAlign w:val="bottom"/>
            <w:hideMark/>
          </w:tcPr>
          <w:p w14:paraId="670C9FF0"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55%</w:t>
            </w:r>
          </w:p>
        </w:tc>
        <w:tc>
          <w:tcPr>
            <w:tcW w:w="576" w:type="dxa"/>
            <w:tcBorders>
              <w:top w:val="nil"/>
              <w:left w:val="nil"/>
              <w:bottom w:val="nil"/>
              <w:right w:val="nil"/>
            </w:tcBorders>
            <w:shd w:val="clear" w:color="auto" w:fill="auto"/>
            <w:noWrap/>
            <w:vAlign w:val="bottom"/>
            <w:hideMark/>
          </w:tcPr>
          <w:p w14:paraId="6A60B208"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17%</w:t>
            </w:r>
          </w:p>
        </w:tc>
        <w:tc>
          <w:tcPr>
            <w:tcW w:w="266" w:type="dxa"/>
            <w:tcBorders>
              <w:top w:val="nil"/>
              <w:left w:val="nil"/>
              <w:bottom w:val="nil"/>
              <w:right w:val="nil"/>
            </w:tcBorders>
            <w:shd w:val="clear" w:color="auto" w:fill="auto"/>
            <w:noWrap/>
            <w:vAlign w:val="bottom"/>
            <w:hideMark/>
          </w:tcPr>
          <w:p w14:paraId="1A9ADE63"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42522AA5"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2.4a</w:t>
            </w:r>
          </w:p>
        </w:tc>
        <w:tc>
          <w:tcPr>
            <w:tcW w:w="576" w:type="dxa"/>
            <w:tcBorders>
              <w:top w:val="nil"/>
              <w:left w:val="nil"/>
              <w:bottom w:val="nil"/>
              <w:right w:val="nil"/>
            </w:tcBorders>
            <w:shd w:val="clear" w:color="auto" w:fill="auto"/>
            <w:noWrap/>
            <w:vAlign w:val="bottom"/>
            <w:hideMark/>
          </w:tcPr>
          <w:p w14:paraId="653ADBFF"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58%</w:t>
            </w:r>
          </w:p>
        </w:tc>
        <w:tc>
          <w:tcPr>
            <w:tcW w:w="576" w:type="dxa"/>
            <w:tcBorders>
              <w:top w:val="nil"/>
              <w:left w:val="nil"/>
              <w:bottom w:val="nil"/>
              <w:right w:val="nil"/>
            </w:tcBorders>
            <w:shd w:val="clear" w:color="auto" w:fill="auto"/>
            <w:noWrap/>
            <w:vAlign w:val="bottom"/>
            <w:hideMark/>
          </w:tcPr>
          <w:p w14:paraId="1E16C099"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39%</w:t>
            </w:r>
          </w:p>
        </w:tc>
        <w:tc>
          <w:tcPr>
            <w:tcW w:w="576" w:type="dxa"/>
            <w:tcBorders>
              <w:top w:val="nil"/>
              <w:left w:val="nil"/>
              <w:bottom w:val="nil"/>
              <w:right w:val="nil"/>
            </w:tcBorders>
            <w:shd w:val="clear" w:color="auto" w:fill="auto"/>
            <w:noWrap/>
            <w:vAlign w:val="bottom"/>
            <w:hideMark/>
          </w:tcPr>
          <w:p w14:paraId="69E763D4"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w:t>
            </w:r>
          </w:p>
        </w:tc>
        <w:tc>
          <w:tcPr>
            <w:tcW w:w="266" w:type="dxa"/>
            <w:tcBorders>
              <w:top w:val="nil"/>
              <w:left w:val="nil"/>
              <w:bottom w:val="nil"/>
              <w:right w:val="nil"/>
            </w:tcBorders>
            <w:shd w:val="clear" w:color="auto" w:fill="auto"/>
            <w:noWrap/>
            <w:vAlign w:val="bottom"/>
            <w:hideMark/>
          </w:tcPr>
          <w:p w14:paraId="6CEDA955"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7486229A"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Concern for profession &amp; lifelong learner</w:t>
            </w:r>
          </w:p>
        </w:tc>
      </w:tr>
      <w:tr w:rsidR="00DF3F86" w:rsidRPr="00DF3F86" w14:paraId="69E6C75B" w14:textId="77777777" w:rsidTr="00DF3F86">
        <w:trPr>
          <w:trHeight w:val="315"/>
        </w:trPr>
        <w:tc>
          <w:tcPr>
            <w:tcW w:w="746" w:type="dxa"/>
            <w:tcBorders>
              <w:top w:val="nil"/>
              <w:left w:val="nil"/>
              <w:bottom w:val="nil"/>
              <w:right w:val="nil"/>
            </w:tcBorders>
            <w:shd w:val="clear" w:color="auto" w:fill="auto"/>
            <w:noWrap/>
            <w:vAlign w:val="bottom"/>
            <w:hideMark/>
          </w:tcPr>
          <w:p w14:paraId="34EC756A"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6E613314"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1.4b</w:t>
            </w:r>
          </w:p>
        </w:tc>
        <w:tc>
          <w:tcPr>
            <w:tcW w:w="576" w:type="dxa"/>
            <w:tcBorders>
              <w:top w:val="nil"/>
              <w:left w:val="nil"/>
              <w:bottom w:val="nil"/>
              <w:right w:val="nil"/>
            </w:tcBorders>
            <w:shd w:val="clear" w:color="auto" w:fill="auto"/>
            <w:noWrap/>
            <w:vAlign w:val="bottom"/>
            <w:hideMark/>
          </w:tcPr>
          <w:p w14:paraId="21F182B9"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21%</w:t>
            </w:r>
          </w:p>
        </w:tc>
        <w:tc>
          <w:tcPr>
            <w:tcW w:w="576" w:type="dxa"/>
            <w:tcBorders>
              <w:top w:val="nil"/>
              <w:left w:val="nil"/>
              <w:bottom w:val="nil"/>
              <w:right w:val="nil"/>
            </w:tcBorders>
            <w:shd w:val="clear" w:color="auto" w:fill="auto"/>
            <w:noWrap/>
            <w:vAlign w:val="bottom"/>
            <w:hideMark/>
          </w:tcPr>
          <w:p w14:paraId="4930C1CE"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51%</w:t>
            </w:r>
          </w:p>
        </w:tc>
        <w:tc>
          <w:tcPr>
            <w:tcW w:w="576" w:type="dxa"/>
            <w:tcBorders>
              <w:top w:val="nil"/>
              <w:left w:val="nil"/>
              <w:bottom w:val="nil"/>
              <w:right w:val="nil"/>
            </w:tcBorders>
            <w:shd w:val="clear" w:color="auto" w:fill="auto"/>
            <w:noWrap/>
            <w:vAlign w:val="bottom"/>
            <w:hideMark/>
          </w:tcPr>
          <w:p w14:paraId="6E87EA6D"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28%</w:t>
            </w:r>
          </w:p>
        </w:tc>
        <w:tc>
          <w:tcPr>
            <w:tcW w:w="266" w:type="dxa"/>
            <w:tcBorders>
              <w:top w:val="nil"/>
              <w:left w:val="nil"/>
              <w:bottom w:val="nil"/>
              <w:right w:val="nil"/>
            </w:tcBorders>
            <w:shd w:val="clear" w:color="auto" w:fill="auto"/>
            <w:noWrap/>
            <w:vAlign w:val="bottom"/>
            <w:hideMark/>
          </w:tcPr>
          <w:p w14:paraId="6F395BB2"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067F9E80"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2.4b</w:t>
            </w:r>
          </w:p>
        </w:tc>
        <w:tc>
          <w:tcPr>
            <w:tcW w:w="576" w:type="dxa"/>
            <w:tcBorders>
              <w:top w:val="nil"/>
              <w:left w:val="nil"/>
              <w:bottom w:val="nil"/>
              <w:right w:val="nil"/>
            </w:tcBorders>
            <w:shd w:val="clear" w:color="auto" w:fill="auto"/>
            <w:noWrap/>
            <w:vAlign w:val="bottom"/>
            <w:hideMark/>
          </w:tcPr>
          <w:p w14:paraId="68F03817"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30%</w:t>
            </w:r>
          </w:p>
        </w:tc>
        <w:tc>
          <w:tcPr>
            <w:tcW w:w="576" w:type="dxa"/>
            <w:tcBorders>
              <w:top w:val="nil"/>
              <w:left w:val="nil"/>
              <w:bottom w:val="nil"/>
              <w:right w:val="nil"/>
            </w:tcBorders>
            <w:shd w:val="clear" w:color="auto" w:fill="auto"/>
            <w:noWrap/>
            <w:vAlign w:val="bottom"/>
            <w:hideMark/>
          </w:tcPr>
          <w:p w14:paraId="62A4AEE8"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61%</w:t>
            </w:r>
          </w:p>
        </w:tc>
        <w:tc>
          <w:tcPr>
            <w:tcW w:w="576" w:type="dxa"/>
            <w:tcBorders>
              <w:top w:val="nil"/>
              <w:left w:val="nil"/>
              <w:bottom w:val="nil"/>
              <w:right w:val="nil"/>
            </w:tcBorders>
            <w:shd w:val="clear" w:color="auto" w:fill="auto"/>
            <w:noWrap/>
            <w:vAlign w:val="bottom"/>
            <w:hideMark/>
          </w:tcPr>
          <w:p w14:paraId="62D6F157"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9%</w:t>
            </w:r>
          </w:p>
        </w:tc>
        <w:tc>
          <w:tcPr>
            <w:tcW w:w="266" w:type="dxa"/>
            <w:tcBorders>
              <w:top w:val="nil"/>
              <w:left w:val="nil"/>
              <w:bottom w:val="nil"/>
              <w:right w:val="nil"/>
            </w:tcBorders>
            <w:shd w:val="clear" w:color="auto" w:fill="auto"/>
            <w:noWrap/>
            <w:vAlign w:val="bottom"/>
            <w:hideMark/>
          </w:tcPr>
          <w:p w14:paraId="6AF5887F"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68824D92"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Growth in creative problem solving</w:t>
            </w:r>
          </w:p>
        </w:tc>
      </w:tr>
      <w:tr w:rsidR="00DF3F86" w:rsidRPr="00DF3F86" w14:paraId="290A4C09" w14:textId="77777777" w:rsidTr="00DF3F86">
        <w:trPr>
          <w:trHeight w:val="315"/>
        </w:trPr>
        <w:tc>
          <w:tcPr>
            <w:tcW w:w="746" w:type="dxa"/>
            <w:tcBorders>
              <w:top w:val="nil"/>
              <w:left w:val="nil"/>
              <w:bottom w:val="nil"/>
              <w:right w:val="nil"/>
            </w:tcBorders>
            <w:shd w:val="clear" w:color="auto" w:fill="auto"/>
            <w:noWrap/>
            <w:vAlign w:val="bottom"/>
            <w:hideMark/>
          </w:tcPr>
          <w:p w14:paraId="557AEEC9"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6827711B"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1.4c</w:t>
            </w:r>
          </w:p>
        </w:tc>
        <w:tc>
          <w:tcPr>
            <w:tcW w:w="576" w:type="dxa"/>
            <w:tcBorders>
              <w:top w:val="nil"/>
              <w:left w:val="nil"/>
              <w:bottom w:val="nil"/>
              <w:right w:val="nil"/>
            </w:tcBorders>
            <w:shd w:val="clear" w:color="auto" w:fill="auto"/>
            <w:noWrap/>
            <w:vAlign w:val="bottom"/>
            <w:hideMark/>
          </w:tcPr>
          <w:p w14:paraId="4C2AFBB7"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23%</w:t>
            </w:r>
          </w:p>
        </w:tc>
        <w:tc>
          <w:tcPr>
            <w:tcW w:w="576" w:type="dxa"/>
            <w:tcBorders>
              <w:top w:val="nil"/>
              <w:left w:val="nil"/>
              <w:bottom w:val="nil"/>
              <w:right w:val="nil"/>
            </w:tcBorders>
            <w:shd w:val="clear" w:color="auto" w:fill="auto"/>
            <w:noWrap/>
            <w:vAlign w:val="bottom"/>
            <w:hideMark/>
          </w:tcPr>
          <w:p w14:paraId="28076C54"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40%</w:t>
            </w:r>
          </w:p>
        </w:tc>
        <w:tc>
          <w:tcPr>
            <w:tcW w:w="576" w:type="dxa"/>
            <w:tcBorders>
              <w:top w:val="nil"/>
              <w:left w:val="nil"/>
              <w:bottom w:val="nil"/>
              <w:right w:val="nil"/>
            </w:tcBorders>
            <w:shd w:val="clear" w:color="auto" w:fill="auto"/>
            <w:noWrap/>
            <w:vAlign w:val="bottom"/>
            <w:hideMark/>
          </w:tcPr>
          <w:p w14:paraId="3FD3ABFB"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38%</w:t>
            </w:r>
          </w:p>
        </w:tc>
        <w:tc>
          <w:tcPr>
            <w:tcW w:w="266" w:type="dxa"/>
            <w:tcBorders>
              <w:top w:val="nil"/>
              <w:left w:val="nil"/>
              <w:bottom w:val="nil"/>
              <w:right w:val="nil"/>
            </w:tcBorders>
            <w:shd w:val="clear" w:color="auto" w:fill="auto"/>
            <w:noWrap/>
            <w:vAlign w:val="bottom"/>
            <w:hideMark/>
          </w:tcPr>
          <w:p w14:paraId="36799161"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70CAFDDE"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2.4c</w:t>
            </w:r>
          </w:p>
        </w:tc>
        <w:tc>
          <w:tcPr>
            <w:tcW w:w="576" w:type="dxa"/>
            <w:tcBorders>
              <w:top w:val="nil"/>
              <w:left w:val="nil"/>
              <w:bottom w:val="nil"/>
              <w:right w:val="nil"/>
            </w:tcBorders>
            <w:shd w:val="clear" w:color="auto" w:fill="auto"/>
            <w:noWrap/>
            <w:vAlign w:val="bottom"/>
            <w:hideMark/>
          </w:tcPr>
          <w:p w14:paraId="367A205D"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24%</w:t>
            </w:r>
          </w:p>
        </w:tc>
        <w:tc>
          <w:tcPr>
            <w:tcW w:w="576" w:type="dxa"/>
            <w:tcBorders>
              <w:top w:val="nil"/>
              <w:left w:val="nil"/>
              <w:bottom w:val="nil"/>
              <w:right w:val="nil"/>
            </w:tcBorders>
            <w:shd w:val="clear" w:color="auto" w:fill="auto"/>
            <w:noWrap/>
            <w:vAlign w:val="bottom"/>
            <w:hideMark/>
          </w:tcPr>
          <w:p w14:paraId="06386D39"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70%</w:t>
            </w:r>
          </w:p>
        </w:tc>
        <w:tc>
          <w:tcPr>
            <w:tcW w:w="576" w:type="dxa"/>
            <w:tcBorders>
              <w:top w:val="nil"/>
              <w:left w:val="nil"/>
              <w:bottom w:val="nil"/>
              <w:right w:val="nil"/>
            </w:tcBorders>
            <w:shd w:val="clear" w:color="auto" w:fill="auto"/>
            <w:noWrap/>
            <w:vAlign w:val="bottom"/>
            <w:hideMark/>
          </w:tcPr>
          <w:p w14:paraId="3DC2EA97"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w:t>
            </w:r>
          </w:p>
        </w:tc>
        <w:tc>
          <w:tcPr>
            <w:tcW w:w="266" w:type="dxa"/>
            <w:tcBorders>
              <w:top w:val="nil"/>
              <w:left w:val="nil"/>
              <w:bottom w:val="nil"/>
              <w:right w:val="nil"/>
            </w:tcBorders>
            <w:shd w:val="clear" w:color="auto" w:fill="auto"/>
            <w:noWrap/>
            <w:vAlign w:val="bottom"/>
            <w:hideMark/>
          </w:tcPr>
          <w:p w14:paraId="79AE763F"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34FB5575"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Meets educational obligations</w:t>
            </w:r>
          </w:p>
        </w:tc>
      </w:tr>
      <w:tr w:rsidR="00DF3F86" w:rsidRPr="00DF3F86" w14:paraId="227D3B79" w14:textId="77777777" w:rsidTr="00DF3F86">
        <w:trPr>
          <w:trHeight w:val="315"/>
        </w:trPr>
        <w:tc>
          <w:tcPr>
            <w:tcW w:w="746" w:type="dxa"/>
            <w:tcBorders>
              <w:top w:val="nil"/>
              <w:left w:val="nil"/>
              <w:bottom w:val="nil"/>
              <w:right w:val="nil"/>
            </w:tcBorders>
            <w:shd w:val="clear" w:color="auto" w:fill="auto"/>
            <w:noWrap/>
            <w:vAlign w:val="bottom"/>
            <w:hideMark/>
          </w:tcPr>
          <w:p w14:paraId="0B13C9A4"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nil"/>
              <w:right w:val="nil"/>
            </w:tcBorders>
            <w:shd w:val="clear" w:color="auto" w:fill="auto"/>
            <w:noWrap/>
            <w:vAlign w:val="bottom"/>
            <w:hideMark/>
          </w:tcPr>
          <w:p w14:paraId="112B604A"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1.4d</w:t>
            </w:r>
          </w:p>
        </w:tc>
        <w:tc>
          <w:tcPr>
            <w:tcW w:w="576" w:type="dxa"/>
            <w:tcBorders>
              <w:top w:val="nil"/>
              <w:left w:val="nil"/>
              <w:bottom w:val="nil"/>
              <w:right w:val="nil"/>
            </w:tcBorders>
            <w:shd w:val="clear" w:color="auto" w:fill="auto"/>
            <w:noWrap/>
            <w:vAlign w:val="bottom"/>
            <w:hideMark/>
          </w:tcPr>
          <w:p w14:paraId="4819A3D7"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28%</w:t>
            </w:r>
          </w:p>
        </w:tc>
        <w:tc>
          <w:tcPr>
            <w:tcW w:w="576" w:type="dxa"/>
            <w:tcBorders>
              <w:top w:val="nil"/>
              <w:left w:val="nil"/>
              <w:bottom w:val="nil"/>
              <w:right w:val="nil"/>
            </w:tcBorders>
            <w:shd w:val="clear" w:color="auto" w:fill="auto"/>
            <w:noWrap/>
            <w:vAlign w:val="bottom"/>
            <w:hideMark/>
          </w:tcPr>
          <w:p w14:paraId="1AAF4859"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53%</w:t>
            </w:r>
          </w:p>
        </w:tc>
        <w:tc>
          <w:tcPr>
            <w:tcW w:w="576" w:type="dxa"/>
            <w:tcBorders>
              <w:top w:val="nil"/>
              <w:left w:val="nil"/>
              <w:bottom w:val="nil"/>
              <w:right w:val="nil"/>
            </w:tcBorders>
            <w:shd w:val="clear" w:color="auto" w:fill="auto"/>
            <w:noWrap/>
            <w:vAlign w:val="bottom"/>
            <w:hideMark/>
          </w:tcPr>
          <w:p w14:paraId="51773E9F"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19%</w:t>
            </w:r>
          </w:p>
        </w:tc>
        <w:tc>
          <w:tcPr>
            <w:tcW w:w="266" w:type="dxa"/>
            <w:tcBorders>
              <w:top w:val="nil"/>
              <w:left w:val="nil"/>
              <w:bottom w:val="nil"/>
              <w:right w:val="nil"/>
            </w:tcBorders>
            <w:shd w:val="clear" w:color="auto" w:fill="auto"/>
            <w:noWrap/>
            <w:vAlign w:val="bottom"/>
            <w:hideMark/>
          </w:tcPr>
          <w:p w14:paraId="66AA2DC1" w14:textId="77777777" w:rsidR="00DF3F86" w:rsidRPr="00DF3F86" w:rsidRDefault="00DF3F86" w:rsidP="00DF3F86">
            <w:pPr>
              <w:spacing w:before="0" w:after="0" w:line="240" w:lineRule="auto"/>
              <w:rPr>
                <w:rFonts w:eastAsia="Times New Roman"/>
                <w:color w:val="000000"/>
                <w:sz w:val="18"/>
                <w:szCs w:val="18"/>
              </w:rPr>
            </w:pPr>
          </w:p>
        </w:tc>
        <w:tc>
          <w:tcPr>
            <w:tcW w:w="531" w:type="dxa"/>
            <w:tcBorders>
              <w:top w:val="nil"/>
              <w:left w:val="nil"/>
              <w:bottom w:val="nil"/>
              <w:right w:val="nil"/>
            </w:tcBorders>
            <w:shd w:val="clear" w:color="auto" w:fill="auto"/>
            <w:noWrap/>
            <w:vAlign w:val="bottom"/>
            <w:hideMark/>
          </w:tcPr>
          <w:p w14:paraId="29AA36B5"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2.4d</w:t>
            </w:r>
          </w:p>
        </w:tc>
        <w:tc>
          <w:tcPr>
            <w:tcW w:w="576" w:type="dxa"/>
            <w:tcBorders>
              <w:top w:val="nil"/>
              <w:left w:val="nil"/>
              <w:bottom w:val="nil"/>
              <w:right w:val="nil"/>
            </w:tcBorders>
            <w:shd w:val="clear" w:color="auto" w:fill="auto"/>
            <w:noWrap/>
            <w:vAlign w:val="bottom"/>
            <w:hideMark/>
          </w:tcPr>
          <w:p w14:paraId="02017F52"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48%</w:t>
            </w:r>
          </w:p>
        </w:tc>
        <w:tc>
          <w:tcPr>
            <w:tcW w:w="576" w:type="dxa"/>
            <w:tcBorders>
              <w:top w:val="nil"/>
              <w:left w:val="nil"/>
              <w:bottom w:val="nil"/>
              <w:right w:val="nil"/>
            </w:tcBorders>
            <w:shd w:val="clear" w:color="auto" w:fill="auto"/>
            <w:noWrap/>
            <w:vAlign w:val="bottom"/>
            <w:hideMark/>
          </w:tcPr>
          <w:p w14:paraId="0E7E1DCC"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48%</w:t>
            </w:r>
          </w:p>
        </w:tc>
        <w:tc>
          <w:tcPr>
            <w:tcW w:w="576" w:type="dxa"/>
            <w:tcBorders>
              <w:top w:val="nil"/>
              <w:left w:val="nil"/>
              <w:bottom w:val="nil"/>
              <w:right w:val="nil"/>
            </w:tcBorders>
            <w:shd w:val="clear" w:color="auto" w:fill="auto"/>
            <w:noWrap/>
            <w:vAlign w:val="bottom"/>
            <w:hideMark/>
          </w:tcPr>
          <w:p w14:paraId="1749C6A6"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w:t>
            </w:r>
          </w:p>
        </w:tc>
        <w:tc>
          <w:tcPr>
            <w:tcW w:w="266" w:type="dxa"/>
            <w:tcBorders>
              <w:top w:val="nil"/>
              <w:left w:val="nil"/>
              <w:bottom w:val="nil"/>
              <w:right w:val="nil"/>
            </w:tcBorders>
            <w:shd w:val="clear" w:color="auto" w:fill="auto"/>
            <w:noWrap/>
            <w:vAlign w:val="bottom"/>
            <w:hideMark/>
          </w:tcPr>
          <w:p w14:paraId="045686E1" w14:textId="77777777" w:rsidR="00DF3F86" w:rsidRPr="00DF3F86" w:rsidRDefault="00DF3F86" w:rsidP="00DF3F86">
            <w:pPr>
              <w:spacing w:before="0" w:after="0" w:line="240" w:lineRule="auto"/>
              <w:rPr>
                <w:rFonts w:eastAsia="Times New Roman"/>
                <w:color w:val="000000"/>
                <w:sz w:val="18"/>
                <w:szCs w:val="18"/>
              </w:rPr>
            </w:pPr>
          </w:p>
        </w:tc>
        <w:tc>
          <w:tcPr>
            <w:tcW w:w="4283" w:type="dxa"/>
            <w:tcBorders>
              <w:top w:val="nil"/>
              <w:left w:val="nil"/>
              <w:bottom w:val="nil"/>
              <w:right w:val="nil"/>
            </w:tcBorders>
            <w:shd w:val="clear" w:color="auto" w:fill="auto"/>
            <w:noWrap/>
            <w:vAlign w:val="center"/>
            <w:hideMark/>
          </w:tcPr>
          <w:p w14:paraId="06811E8A"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Professional appearance</w:t>
            </w:r>
          </w:p>
        </w:tc>
      </w:tr>
      <w:tr w:rsidR="00DF3F86" w:rsidRPr="00DF3F86" w14:paraId="2A64AACC" w14:textId="77777777" w:rsidTr="00DF3F86">
        <w:trPr>
          <w:trHeight w:val="315"/>
        </w:trPr>
        <w:tc>
          <w:tcPr>
            <w:tcW w:w="746" w:type="dxa"/>
            <w:tcBorders>
              <w:top w:val="nil"/>
              <w:left w:val="nil"/>
              <w:bottom w:val="single" w:sz="4" w:space="0" w:color="auto"/>
              <w:right w:val="nil"/>
            </w:tcBorders>
            <w:shd w:val="clear" w:color="auto" w:fill="auto"/>
            <w:noWrap/>
            <w:vAlign w:val="bottom"/>
            <w:hideMark/>
          </w:tcPr>
          <w:p w14:paraId="395F524C"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Self</w:t>
            </w:r>
          </w:p>
        </w:tc>
        <w:tc>
          <w:tcPr>
            <w:tcW w:w="531" w:type="dxa"/>
            <w:tcBorders>
              <w:top w:val="nil"/>
              <w:left w:val="nil"/>
              <w:bottom w:val="single" w:sz="4" w:space="0" w:color="auto"/>
              <w:right w:val="nil"/>
            </w:tcBorders>
            <w:shd w:val="clear" w:color="auto" w:fill="auto"/>
            <w:noWrap/>
            <w:vAlign w:val="bottom"/>
            <w:hideMark/>
          </w:tcPr>
          <w:p w14:paraId="18E4F013"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1.4e</w:t>
            </w:r>
          </w:p>
        </w:tc>
        <w:tc>
          <w:tcPr>
            <w:tcW w:w="576" w:type="dxa"/>
            <w:tcBorders>
              <w:top w:val="nil"/>
              <w:left w:val="nil"/>
              <w:bottom w:val="single" w:sz="4" w:space="0" w:color="auto"/>
              <w:right w:val="nil"/>
            </w:tcBorders>
            <w:shd w:val="clear" w:color="auto" w:fill="auto"/>
            <w:noWrap/>
            <w:vAlign w:val="bottom"/>
            <w:hideMark/>
          </w:tcPr>
          <w:p w14:paraId="21DAC0CD"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36%</w:t>
            </w:r>
          </w:p>
        </w:tc>
        <w:tc>
          <w:tcPr>
            <w:tcW w:w="576" w:type="dxa"/>
            <w:tcBorders>
              <w:top w:val="nil"/>
              <w:left w:val="nil"/>
              <w:bottom w:val="single" w:sz="4" w:space="0" w:color="auto"/>
              <w:right w:val="nil"/>
            </w:tcBorders>
            <w:shd w:val="clear" w:color="auto" w:fill="auto"/>
            <w:noWrap/>
            <w:vAlign w:val="bottom"/>
            <w:hideMark/>
          </w:tcPr>
          <w:p w14:paraId="60233F47"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53%</w:t>
            </w:r>
          </w:p>
        </w:tc>
        <w:tc>
          <w:tcPr>
            <w:tcW w:w="576" w:type="dxa"/>
            <w:tcBorders>
              <w:top w:val="nil"/>
              <w:left w:val="nil"/>
              <w:bottom w:val="single" w:sz="4" w:space="0" w:color="auto"/>
              <w:right w:val="nil"/>
            </w:tcBorders>
            <w:shd w:val="clear" w:color="auto" w:fill="auto"/>
            <w:noWrap/>
            <w:vAlign w:val="bottom"/>
            <w:hideMark/>
          </w:tcPr>
          <w:p w14:paraId="433F7995" w14:textId="77777777" w:rsidR="00DF3F86" w:rsidRPr="00DF3F86" w:rsidRDefault="00DF3F86" w:rsidP="00DF3F86">
            <w:pPr>
              <w:spacing w:before="0" w:after="0" w:line="240" w:lineRule="auto"/>
              <w:jc w:val="right"/>
              <w:rPr>
                <w:rFonts w:eastAsia="Times New Roman"/>
                <w:color w:val="000000"/>
                <w:sz w:val="18"/>
                <w:szCs w:val="18"/>
                <w:highlight w:val="yellow"/>
              </w:rPr>
            </w:pPr>
            <w:r w:rsidRPr="00DF3F86">
              <w:rPr>
                <w:rFonts w:eastAsia="Times New Roman"/>
                <w:color w:val="000000"/>
                <w:sz w:val="18"/>
                <w:szCs w:val="18"/>
                <w:highlight w:val="yellow"/>
              </w:rPr>
              <w:t>11%</w:t>
            </w:r>
          </w:p>
        </w:tc>
        <w:tc>
          <w:tcPr>
            <w:tcW w:w="266" w:type="dxa"/>
            <w:tcBorders>
              <w:top w:val="nil"/>
              <w:left w:val="nil"/>
              <w:bottom w:val="single" w:sz="4" w:space="0" w:color="auto"/>
              <w:right w:val="nil"/>
            </w:tcBorders>
            <w:shd w:val="clear" w:color="auto" w:fill="auto"/>
            <w:noWrap/>
            <w:vAlign w:val="bottom"/>
            <w:hideMark/>
          </w:tcPr>
          <w:p w14:paraId="75282D74"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 </w:t>
            </w:r>
          </w:p>
        </w:tc>
        <w:tc>
          <w:tcPr>
            <w:tcW w:w="531" w:type="dxa"/>
            <w:tcBorders>
              <w:top w:val="nil"/>
              <w:left w:val="nil"/>
              <w:bottom w:val="single" w:sz="4" w:space="0" w:color="auto"/>
              <w:right w:val="nil"/>
            </w:tcBorders>
            <w:shd w:val="clear" w:color="auto" w:fill="auto"/>
            <w:noWrap/>
            <w:vAlign w:val="bottom"/>
            <w:hideMark/>
          </w:tcPr>
          <w:p w14:paraId="2164C3AA" w14:textId="77777777" w:rsidR="00DF3F86" w:rsidRPr="00DF3F86" w:rsidRDefault="00DF3F86" w:rsidP="00DF3F86">
            <w:pPr>
              <w:spacing w:before="0" w:after="0" w:line="240" w:lineRule="auto"/>
              <w:jc w:val="center"/>
              <w:rPr>
                <w:rFonts w:eastAsia="Times New Roman"/>
                <w:color w:val="000000"/>
                <w:sz w:val="18"/>
                <w:szCs w:val="18"/>
              </w:rPr>
            </w:pPr>
            <w:r w:rsidRPr="00DF3F86">
              <w:rPr>
                <w:rFonts w:eastAsia="Times New Roman"/>
                <w:color w:val="000000"/>
                <w:sz w:val="18"/>
                <w:szCs w:val="18"/>
              </w:rPr>
              <w:t>2.4e</w:t>
            </w:r>
          </w:p>
        </w:tc>
        <w:tc>
          <w:tcPr>
            <w:tcW w:w="576" w:type="dxa"/>
            <w:tcBorders>
              <w:top w:val="nil"/>
              <w:left w:val="nil"/>
              <w:bottom w:val="single" w:sz="4" w:space="0" w:color="auto"/>
              <w:right w:val="nil"/>
            </w:tcBorders>
            <w:shd w:val="clear" w:color="auto" w:fill="auto"/>
            <w:noWrap/>
            <w:vAlign w:val="bottom"/>
            <w:hideMark/>
          </w:tcPr>
          <w:p w14:paraId="31B30270"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52%</w:t>
            </w:r>
          </w:p>
        </w:tc>
        <w:tc>
          <w:tcPr>
            <w:tcW w:w="576" w:type="dxa"/>
            <w:tcBorders>
              <w:top w:val="nil"/>
              <w:left w:val="nil"/>
              <w:bottom w:val="single" w:sz="4" w:space="0" w:color="auto"/>
              <w:right w:val="nil"/>
            </w:tcBorders>
            <w:shd w:val="clear" w:color="auto" w:fill="auto"/>
            <w:noWrap/>
            <w:vAlign w:val="bottom"/>
            <w:hideMark/>
          </w:tcPr>
          <w:p w14:paraId="3B714693"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42%</w:t>
            </w:r>
          </w:p>
        </w:tc>
        <w:tc>
          <w:tcPr>
            <w:tcW w:w="576" w:type="dxa"/>
            <w:tcBorders>
              <w:top w:val="nil"/>
              <w:left w:val="nil"/>
              <w:bottom w:val="single" w:sz="4" w:space="0" w:color="auto"/>
              <w:right w:val="nil"/>
            </w:tcBorders>
            <w:shd w:val="clear" w:color="auto" w:fill="auto"/>
            <w:noWrap/>
            <w:vAlign w:val="bottom"/>
            <w:hideMark/>
          </w:tcPr>
          <w:p w14:paraId="03AD3E9C" w14:textId="77777777" w:rsidR="00DF3F86" w:rsidRPr="00DF3F86" w:rsidRDefault="00DF3F86" w:rsidP="00DF3F86">
            <w:pPr>
              <w:spacing w:before="0" w:after="0" w:line="240" w:lineRule="auto"/>
              <w:jc w:val="right"/>
              <w:rPr>
                <w:rFonts w:eastAsia="Times New Roman"/>
                <w:color w:val="000000"/>
                <w:sz w:val="18"/>
                <w:szCs w:val="18"/>
              </w:rPr>
            </w:pPr>
            <w:r w:rsidRPr="00DF3F86">
              <w:rPr>
                <w:rFonts w:eastAsia="Times New Roman"/>
                <w:color w:val="000000"/>
                <w:sz w:val="18"/>
                <w:szCs w:val="18"/>
              </w:rPr>
              <w:t>6%</w:t>
            </w:r>
          </w:p>
        </w:tc>
        <w:tc>
          <w:tcPr>
            <w:tcW w:w="266" w:type="dxa"/>
            <w:tcBorders>
              <w:top w:val="nil"/>
              <w:left w:val="nil"/>
              <w:bottom w:val="single" w:sz="4" w:space="0" w:color="auto"/>
              <w:right w:val="nil"/>
            </w:tcBorders>
            <w:shd w:val="clear" w:color="auto" w:fill="auto"/>
            <w:noWrap/>
            <w:vAlign w:val="bottom"/>
            <w:hideMark/>
          </w:tcPr>
          <w:p w14:paraId="2847ABE8"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 </w:t>
            </w:r>
          </w:p>
        </w:tc>
        <w:tc>
          <w:tcPr>
            <w:tcW w:w="4283" w:type="dxa"/>
            <w:tcBorders>
              <w:top w:val="nil"/>
              <w:left w:val="nil"/>
              <w:bottom w:val="single" w:sz="4" w:space="0" w:color="auto"/>
              <w:right w:val="nil"/>
            </w:tcBorders>
            <w:shd w:val="clear" w:color="auto" w:fill="auto"/>
            <w:noWrap/>
            <w:vAlign w:val="center"/>
            <w:hideMark/>
          </w:tcPr>
          <w:p w14:paraId="609AB6D3" w14:textId="77777777" w:rsidR="00DF3F86" w:rsidRPr="00DF3F86" w:rsidRDefault="00DF3F86" w:rsidP="00DF3F86">
            <w:pPr>
              <w:spacing w:before="0" w:after="0" w:line="240" w:lineRule="auto"/>
              <w:rPr>
                <w:rFonts w:eastAsia="Times New Roman"/>
                <w:color w:val="000000"/>
                <w:sz w:val="18"/>
                <w:szCs w:val="18"/>
              </w:rPr>
            </w:pPr>
            <w:r w:rsidRPr="00DF3F86">
              <w:rPr>
                <w:rFonts w:eastAsia="Times New Roman"/>
                <w:color w:val="000000"/>
                <w:sz w:val="18"/>
                <w:szCs w:val="18"/>
              </w:rPr>
              <w:t>Consistent positive attitude</w:t>
            </w:r>
          </w:p>
        </w:tc>
      </w:tr>
    </w:tbl>
    <w:p w14:paraId="72F92E65" w14:textId="77777777" w:rsidR="00DF3F86" w:rsidRDefault="00DF3F86" w:rsidP="00DF3F86"/>
    <w:p w14:paraId="5C75D42C" w14:textId="77777777" w:rsidR="00DF3F86" w:rsidRPr="00DF3F86" w:rsidRDefault="00DF3F86" w:rsidP="00DF3F86">
      <w:r w:rsidRPr="00DF3F86">
        <w:t>The same type of examination of the data for the evaluations completed by the students is equally profitable.  The first comparison is to compare the overall scores from the teachers</w:t>
      </w:r>
      <w:r>
        <w:t xml:space="preserve"> in Table 13</w:t>
      </w:r>
      <w:r w:rsidRPr="00DF3F86">
        <w:t xml:space="preserve"> and students </w:t>
      </w:r>
      <w:r>
        <w:t xml:space="preserve">in Table 14 </w:t>
      </w:r>
      <w:r w:rsidRPr="00DF3F86">
        <w:t>in the first or baseline evaluation</w:t>
      </w:r>
      <w:r>
        <w:t>s</w:t>
      </w:r>
      <w:r w:rsidRPr="00DF3F86">
        <w:t xml:space="preserve">.  They agree pretty much on the percentage of Exemplary responses but the students perceive more of them at the level of Developing compared to the teacher raters.   Looking down the </w:t>
      </w:r>
      <w:r w:rsidR="005B5E26" w:rsidRPr="00DF3F86">
        <w:t>self-scored</w:t>
      </w:r>
      <w:r w:rsidR="0014349E">
        <w:t xml:space="preserve"> </w:t>
      </w:r>
      <w:r w:rsidRPr="00DF3F86">
        <w:t xml:space="preserve">percentages in the students' </w:t>
      </w:r>
      <w:r>
        <w:t>Developing category (lightly shaded in yellow)</w:t>
      </w:r>
      <w:r w:rsidRPr="00DF3F86">
        <w:t>, it would appear the Division faculty has a very large task in front of them to move a lot of students from Developing to one of the two levels of Proficient.</w:t>
      </w:r>
    </w:p>
    <w:p w14:paraId="2F598303" w14:textId="77777777" w:rsidR="006F7F72" w:rsidRPr="00DF3F86" w:rsidRDefault="006F7F72" w:rsidP="006F7F72">
      <w:r w:rsidRPr="00DF3F86">
        <w:lastRenderedPageBreak/>
        <w:t>However when examining the second set of self-rated scores</w:t>
      </w:r>
      <w:r>
        <w:t xml:space="preserve"> in Table 14</w:t>
      </w:r>
      <w:r w:rsidRPr="00DF3F86">
        <w:t xml:space="preserve">, the students made some very impressive gains.  Overall the percentage of Developing students went from 26% to 8%.  Looking down the Developing column in </w:t>
      </w:r>
      <w:r w:rsidR="00F67133">
        <w:t>Stage II</w:t>
      </w:r>
      <w:r w:rsidRPr="00DF3F86">
        <w:t>, a very impressive decrease in</w:t>
      </w:r>
      <w:r>
        <w:t xml:space="preserve"> the percentage of </w:t>
      </w:r>
      <w:r w:rsidRPr="00DF3F86">
        <w:t>Developing</w:t>
      </w:r>
      <w:r>
        <w:t xml:space="preserve"> ratings</w:t>
      </w:r>
      <w:r w:rsidRPr="00DF3F86">
        <w:t xml:space="preserve"> took place across all standards and dispositions with one exception in which the score </w:t>
      </w:r>
      <w:r>
        <w:t xml:space="preserve">on that disposition, 1.1b </w:t>
      </w:r>
      <w:r w:rsidRPr="00DF3F86">
        <w:t xml:space="preserve">didn't change but fortunately </w:t>
      </w:r>
      <w:r>
        <w:t xml:space="preserve">that score </w:t>
      </w:r>
      <w:r w:rsidRPr="00DF3F86">
        <w:t xml:space="preserve">was the lowest score to start with in the baseline data.  </w:t>
      </w:r>
    </w:p>
    <w:p w14:paraId="1803DA91" w14:textId="77777777" w:rsidR="006F7F72" w:rsidRDefault="006F7F72">
      <w:pPr>
        <w:spacing w:before="0" w:after="200"/>
      </w:pPr>
      <w:r>
        <w:t>Again, these self-scored data are so good that the Division faculty deserve to have their students’</w:t>
      </w:r>
      <w:r w:rsidR="00446BB4">
        <w:t xml:space="preserve"> TPT gains displayed in a second</w:t>
      </w:r>
      <w:r>
        <w:t xml:space="preserve"> format.</w:t>
      </w:r>
    </w:p>
    <w:p w14:paraId="66E4A34C" w14:textId="77777777" w:rsidR="00446BB4" w:rsidRDefault="00446BB4">
      <w:pPr>
        <w:spacing w:before="0" w:after="200"/>
      </w:pPr>
      <w:r>
        <w:rPr>
          <w:noProof/>
        </w:rPr>
        <w:drawing>
          <wp:inline distT="0" distB="0" distL="0" distR="0" wp14:anchorId="26089312" wp14:editId="31FEEF1C">
            <wp:extent cx="5943600" cy="4295140"/>
            <wp:effectExtent l="0" t="0" r="1905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598468" w14:textId="77777777" w:rsidR="00D32504" w:rsidRDefault="00DF3F86" w:rsidP="00DF3F86">
      <w:r w:rsidRPr="00DF3F86">
        <w:t xml:space="preserve">Normally an analysis of data on an assessment such as this one </w:t>
      </w:r>
      <w:r w:rsidR="00446BB4" w:rsidRPr="00DF3F86">
        <w:t>leads</w:t>
      </w:r>
      <w:r w:rsidRPr="00DF3F86">
        <w:t xml:space="preserve"> to making recommendations regarding a number of </w:t>
      </w:r>
      <w:r w:rsidR="00D32504" w:rsidRPr="00DF3F86">
        <w:t>elements</w:t>
      </w:r>
      <w:r w:rsidRPr="00DF3F86">
        <w:t xml:space="preserve"> or in this case, dispositions that need improvement. </w:t>
      </w:r>
      <w:r w:rsidR="00D32504">
        <w:t xml:space="preserve"> </w:t>
      </w:r>
      <w:r w:rsidRPr="00DF3F86">
        <w:t xml:space="preserve">Had </w:t>
      </w:r>
      <w:r w:rsidR="00D32504">
        <w:t xml:space="preserve">the assessment been limited to </w:t>
      </w:r>
      <w:r w:rsidRPr="00DF3F86">
        <w:t>just</w:t>
      </w:r>
      <w:r w:rsidR="00D32504">
        <w:t xml:space="preserve"> </w:t>
      </w:r>
      <w:r w:rsidRPr="00DF3F86">
        <w:t>the initial evaluations, that would have been the case for ab</w:t>
      </w:r>
      <w:r w:rsidR="00D32504">
        <w:t>ou</w:t>
      </w:r>
      <w:r w:rsidRPr="00DF3F86">
        <w:t xml:space="preserve">t 80% of the </w:t>
      </w:r>
      <w:r w:rsidR="00D32504" w:rsidRPr="00DF3F86">
        <w:t>dispositions</w:t>
      </w:r>
      <w:r w:rsidRPr="00DF3F86">
        <w:t xml:space="preserve">; however, the </w:t>
      </w:r>
      <w:r w:rsidR="00D32504" w:rsidRPr="00DF3F86">
        <w:t>follow-up</w:t>
      </w:r>
      <w:r w:rsidRPr="00DF3F86">
        <w:t xml:space="preserve"> evaluation eliminated almost all what would have been the recommendations without it.  This shows the importance of multiple assessments using the same or very similar assessments so as to have indicators </w:t>
      </w:r>
      <w:r w:rsidR="00D32504">
        <w:t>to demonstrate</w:t>
      </w:r>
      <w:r w:rsidRPr="00DF3F86">
        <w:t xml:space="preserve"> progress.  </w:t>
      </w:r>
    </w:p>
    <w:p w14:paraId="413975E7" w14:textId="77777777" w:rsidR="00D32504" w:rsidRDefault="00D32504" w:rsidP="00D32504">
      <w:r>
        <w:br w:type="page"/>
      </w:r>
    </w:p>
    <w:p w14:paraId="546CFCF4" w14:textId="77777777" w:rsidR="00DF3F86" w:rsidRPr="00DF3F86" w:rsidRDefault="00DF3F86" w:rsidP="00DF3F86">
      <w:r w:rsidRPr="00DF3F86">
        <w:lastRenderedPageBreak/>
        <w:t xml:space="preserve">Perhaps the most important conclusion to draw from these data is that clearly the incoming students lack the </w:t>
      </w:r>
      <w:r w:rsidR="00D32504">
        <w:t xml:space="preserve">desired </w:t>
      </w:r>
      <w:r w:rsidRPr="00DF3F86">
        <w:t xml:space="preserve">level of professional standards the Division and College wishes its graduates to have.  Given that, the Division is obligated to integrate these four professional standards into all of its </w:t>
      </w:r>
      <w:r w:rsidR="00D32504" w:rsidRPr="00DF3F86">
        <w:t>curricula</w:t>
      </w:r>
      <w:r w:rsidRPr="00DF3F86">
        <w:t xml:space="preserve">, but it becomes very difficult in those </w:t>
      </w:r>
      <w:r w:rsidR="00D32504" w:rsidRPr="00DF3F86">
        <w:t>classes</w:t>
      </w:r>
      <w:r w:rsidRPr="00DF3F86">
        <w:t xml:space="preserve"> to </w:t>
      </w:r>
      <w:r w:rsidR="00D32504" w:rsidRPr="00DF3F86">
        <w:t>determine</w:t>
      </w:r>
      <w:r w:rsidRPr="00DF3F86">
        <w:t xml:space="preserve"> specifically just how successful the integration </w:t>
      </w:r>
      <w:r w:rsidR="00D32504">
        <w:t xml:space="preserve">of these qualities </w:t>
      </w:r>
      <w:r w:rsidRPr="00DF3F86">
        <w:t xml:space="preserve">has been.  These data provide strong evidence the Division has been very successful, very proficient in </w:t>
      </w:r>
      <w:r w:rsidR="00D32504" w:rsidRPr="00DF3F86">
        <w:t>substantially</w:t>
      </w:r>
      <w:r w:rsidRPr="00DF3F86">
        <w:t xml:space="preserve"> </w:t>
      </w:r>
      <w:r w:rsidR="00D32504">
        <w:t xml:space="preserve">achieving the desired growth in the fundamental qualities required of all SKC graduates.  </w:t>
      </w:r>
      <w:r w:rsidRPr="00DF3F86">
        <w:t xml:space="preserve"> Sometimes a faculty and/or </w:t>
      </w:r>
      <w:r w:rsidR="00D32504" w:rsidRPr="00DF3F86">
        <w:t>students</w:t>
      </w:r>
      <w:r w:rsidRPr="00DF3F86">
        <w:t xml:space="preserve"> will question the amount of assessing that takes place in a program;</w:t>
      </w:r>
      <w:r w:rsidR="00D32504">
        <w:t xml:space="preserve"> however, it is very clear that</w:t>
      </w:r>
      <w:r w:rsidRPr="00DF3F86">
        <w:t xml:space="preserve"> in this case,</w:t>
      </w:r>
      <w:r w:rsidR="00D32504">
        <w:t xml:space="preserve"> </w:t>
      </w:r>
      <w:r w:rsidRPr="00DF3F86">
        <w:t>th</w:t>
      </w:r>
      <w:r w:rsidR="00D32504">
        <w:t>e</w:t>
      </w:r>
      <w:r w:rsidRPr="00DF3F86">
        <w:t xml:space="preserve"> second assessment was </w:t>
      </w:r>
      <w:r w:rsidR="00D32504" w:rsidRPr="00DF3F86">
        <w:t>exceptionally</w:t>
      </w:r>
      <w:r w:rsidRPr="00DF3F86">
        <w:t xml:space="preserve"> valuable in that it </w:t>
      </w:r>
      <w:r w:rsidR="00D32504" w:rsidRPr="00DF3F86">
        <w:t>confirms</w:t>
      </w:r>
      <w:r w:rsidRPr="00DF3F86">
        <w:t xml:space="preserve"> the </w:t>
      </w:r>
      <w:r w:rsidR="00D32504" w:rsidRPr="00DF3F86">
        <w:t>success</w:t>
      </w:r>
      <w:r w:rsidRPr="00DF3F86">
        <w:t xml:space="preserve"> of what is being done in this regard and eliminates misdirecting resources that might have been otherwise committed had only one TPT assessment been </w:t>
      </w:r>
      <w:r w:rsidR="00D32504" w:rsidRPr="00DF3F86">
        <w:t>administered</w:t>
      </w:r>
      <w:r w:rsidRPr="00DF3F86">
        <w:t xml:space="preserve">.   </w:t>
      </w:r>
    </w:p>
    <w:p w14:paraId="7430F4E7" w14:textId="77777777" w:rsidR="00D32504" w:rsidRDefault="00D32504" w:rsidP="00D32504">
      <w:r>
        <w:t>To quote from the Division’s 2017 Student Handbook, “Addressing this aspect of professional development early in the program sequence will help to ensure that candidates develop holistically in their pursuit of careers in education.”  These data underscore the reality of that statement!</w:t>
      </w:r>
    </w:p>
    <w:p w14:paraId="15304113" w14:textId="77777777" w:rsidR="00D32504" w:rsidRDefault="00D32504" w:rsidP="00EF1A55">
      <w:pPr>
        <w:pStyle w:val="Heading1"/>
      </w:pPr>
      <w:bookmarkStart w:id="39" w:name="_Toc493221897"/>
      <w:r>
        <w:t>Student Teacher Evaluation</w:t>
      </w:r>
      <w:bookmarkEnd w:id="39"/>
    </w:p>
    <w:p w14:paraId="773D32D1" w14:textId="77777777" w:rsidR="00D32504" w:rsidRDefault="00D32504" w:rsidP="00D32504">
      <w:r>
        <w:t>The student teacher evaluation (</w:t>
      </w:r>
      <w:r w:rsidRPr="00C423A9">
        <w:rPr>
          <w:b/>
        </w:rPr>
        <w:t>STE</w:t>
      </w:r>
      <w:r>
        <w:t xml:space="preserve">) is part of the </w:t>
      </w:r>
      <w:r w:rsidR="00F67133">
        <w:t>Stage III</w:t>
      </w:r>
      <w:r>
        <w:t xml:space="preserve"> or TEP 3 program level and is the single most comprehensive and meaningful assessment available to reflect the quality of education and training the Division of Education students have acquired over the entire span of their coursework.  When taken in concert with the previous assessments reported herein, the Division of Education has a very good profile of the degree to which the most essential qualities required of highly qualified teachers exist individually in any given graduate as well as systemically in the Division as a whole across all programs.  </w:t>
      </w:r>
      <w:r w:rsidR="00F03EC1">
        <w:t xml:space="preserve"> </w:t>
      </w:r>
      <w:r w:rsidR="006837F2">
        <w:t xml:space="preserve">Note Mentor /Cooperating/Supervisor Teacher are used interchangeable in the data.  Hence forth, the three titles will be collapsed to Cooperating Mentor Teacher (CMT). </w:t>
      </w:r>
    </w:p>
    <w:p w14:paraId="01D36F9F" w14:textId="77777777" w:rsidR="00D32504" w:rsidRDefault="00D32504" w:rsidP="00D32504">
      <w:r>
        <w:t>The STE is based upon the 10 InTASC Standards, which are comprised of 43 elements.  These elements are rated Exemplary (3), Proficient (2), Developing (1), and Unacceptable (0).  The STE is given at both the midpoint and end of the student teaching experience.  The same form is completed at both time periods by the Supervising Classroom Teacher (SCT) and the</w:t>
      </w:r>
      <w:r w:rsidR="00F03EC1">
        <w:t xml:space="preserve"> College Supervisor (CS)</w:t>
      </w:r>
      <w:r>
        <w:t>.  This provides for a variety of ways to gauge student teacher growth and quality of program development</w:t>
      </w:r>
      <w:r w:rsidR="00F03EC1">
        <w:t xml:space="preserve"> in the same assessments</w:t>
      </w:r>
      <w:r>
        <w:t xml:space="preserve">.  The summative data </w:t>
      </w:r>
      <w:r w:rsidR="00F03EC1">
        <w:t>are</w:t>
      </w:r>
      <w:r>
        <w:t xml:space="preserve"> provided in the two tables below with a more extensive analysis to follow. </w:t>
      </w:r>
    </w:p>
    <w:p w14:paraId="276DC542" w14:textId="77777777" w:rsidR="005C435A" w:rsidRPr="0030460B" w:rsidRDefault="005C435A" w:rsidP="005C435A">
      <w:pPr>
        <w:spacing w:before="0" w:after="200"/>
      </w:pPr>
      <w:r w:rsidRPr="0030460B">
        <w:t>Overall, the ST</w:t>
      </w:r>
      <w:r w:rsidR="00F03EC1">
        <w:t>E</w:t>
      </w:r>
      <w:r w:rsidRPr="0030460B">
        <w:t xml:space="preserve"> produced 8</w:t>
      </w:r>
      <w:r>
        <w:t>,</w:t>
      </w:r>
      <w:r w:rsidRPr="0030460B">
        <w:t xml:space="preserve">819 data points from three raters on 70 students.   Of those 8,819 data points, 24% were Exemplary, 69% were proficient, and 6% were Developing.  </w:t>
      </w:r>
    </w:p>
    <w:p w14:paraId="39354C0C" w14:textId="77777777" w:rsidR="00051906" w:rsidRDefault="002A3FAB" w:rsidP="005C435A">
      <w:pPr>
        <w:spacing w:before="0" w:after="200"/>
      </w:pPr>
      <w:r>
        <w:t>Table 15 b</w:t>
      </w:r>
      <w:r w:rsidR="005C435A" w:rsidRPr="0030460B">
        <w:t>reak</w:t>
      </w:r>
      <w:r>
        <w:t>s</w:t>
      </w:r>
      <w:r w:rsidR="005C435A" w:rsidRPr="0030460B">
        <w:t xml:space="preserve"> the data down further</w:t>
      </w:r>
      <w:r>
        <w:t xml:space="preserve"> into Midterm and Final ratings.  There were</w:t>
      </w:r>
      <w:r w:rsidR="005C435A" w:rsidRPr="0030460B">
        <w:t xml:space="preserve"> 4,321 data points gathered at midterm and 4,498 at the end of the term.   </w:t>
      </w:r>
      <w:r w:rsidR="00051906">
        <w:t xml:space="preserve">As can be seen in Table 15, there was a substantial positive progression of responses between </w:t>
      </w:r>
      <w:r w:rsidR="00F03EC1">
        <w:t>m</w:t>
      </w:r>
      <w:r w:rsidR="00051906">
        <w:t xml:space="preserve">id and </w:t>
      </w:r>
      <w:r w:rsidR="00F03EC1">
        <w:t>f</w:t>
      </w:r>
      <w:r w:rsidR="00051906">
        <w:t xml:space="preserve">inal terms.  More specifically, there was an 11% increase in the frequencies of the Exemplary/Proficient responses while Developing happily experienced a decrease from 12% </w:t>
      </w:r>
      <w:r w:rsidR="00425089">
        <w:t xml:space="preserve">at </w:t>
      </w:r>
      <w:r w:rsidR="00484377">
        <w:t>mid-term</w:t>
      </w:r>
      <w:r w:rsidR="00425089">
        <w:t xml:space="preserve"> to just 1% by the end of the term</w:t>
      </w:r>
      <w:r w:rsidR="00484377">
        <w:t>!</w:t>
      </w:r>
      <w:r w:rsidR="00425089">
        <w:t xml:space="preserve">  Further examination shows not only did the Developing responses go down, so did Proficient as Exemplary responses went from 14% </w:t>
      </w:r>
      <w:r w:rsidR="00484377">
        <w:t>mid-term</w:t>
      </w:r>
      <w:r w:rsidR="00425089">
        <w:t xml:space="preserve"> to 34% Final, an overall gain of 20%</w:t>
      </w:r>
      <w:r w:rsidR="002E6FF4">
        <w:t xml:space="preserve"> at the Exemplary level</w:t>
      </w:r>
      <w:r w:rsidR="00425089">
        <w:t>!</w:t>
      </w:r>
    </w:p>
    <w:p w14:paraId="4CB33563" w14:textId="77777777" w:rsidR="00051906" w:rsidRPr="0030460B" w:rsidRDefault="00051906" w:rsidP="005C435A">
      <w:pPr>
        <w:spacing w:before="0" w:after="200"/>
      </w:pPr>
    </w:p>
    <w:tbl>
      <w:tblPr>
        <w:tblW w:w="8517" w:type="dxa"/>
        <w:tblInd w:w="788" w:type="dxa"/>
        <w:tblLook w:val="04A0" w:firstRow="1" w:lastRow="0" w:firstColumn="1" w:lastColumn="0" w:noHBand="0" w:noVBand="1"/>
      </w:tblPr>
      <w:tblGrid>
        <w:gridCol w:w="1181"/>
        <w:gridCol w:w="667"/>
        <w:gridCol w:w="588"/>
        <w:gridCol w:w="557"/>
        <w:gridCol w:w="588"/>
        <w:gridCol w:w="680"/>
        <w:gridCol w:w="588"/>
        <w:gridCol w:w="1255"/>
        <w:gridCol w:w="557"/>
        <w:gridCol w:w="588"/>
        <w:gridCol w:w="680"/>
        <w:gridCol w:w="588"/>
      </w:tblGrid>
      <w:tr w:rsidR="00051906" w:rsidRPr="00051906" w14:paraId="2077729E" w14:textId="77777777" w:rsidTr="00484377">
        <w:trPr>
          <w:trHeight w:val="300"/>
        </w:trPr>
        <w:tc>
          <w:tcPr>
            <w:tcW w:w="8517" w:type="dxa"/>
            <w:gridSpan w:val="12"/>
            <w:tcBorders>
              <w:top w:val="single" w:sz="4" w:space="0" w:color="auto"/>
              <w:left w:val="nil"/>
              <w:bottom w:val="nil"/>
              <w:right w:val="nil"/>
            </w:tcBorders>
            <w:shd w:val="clear" w:color="auto" w:fill="auto"/>
            <w:noWrap/>
            <w:vAlign w:val="bottom"/>
            <w:hideMark/>
          </w:tcPr>
          <w:p w14:paraId="1213E651" w14:textId="77777777" w:rsidR="00051906" w:rsidRPr="00051906" w:rsidRDefault="00545A08" w:rsidP="00484377">
            <w:pPr>
              <w:spacing w:before="0" w:after="0" w:line="240" w:lineRule="auto"/>
              <w:jc w:val="center"/>
              <w:rPr>
                <w:rFonts w:eastAsia="Times New Roman"/>
                <w:b/>
                <w:bCs/>
                <w:color w:val="000000"/>
              </w:rPr>
            </w:pPr>
            <w:bookmarkStart w:id="40" w:name="_Toc492828037"/>
            <w:r w:rsidRPr="00545A08">
              <w:rPr>
                <w:b/>
              </w:rPr>
              <w:t xml:space="preserve">Table </w:t>
            </w:r>
            <w:r w:rsidRPr="00545A08">
              <w:rPr>
                <w:b/>
              </w:rPr>
              <w:fldChar w:fldCharType="begin"/>
            </w:r>
            <w:r w:rsidRPr="00545A08">
              <w:rPr>
                <w:b/>
              </w:rPr>
              <w:instrText xml:space="preserve"> SEQ Table \* ARABIC </w:instrText>
            </w:r>
            <w:r w:rsidRPr="00545A08">
              <w:rPr>
                <w:b/>
              </w:rPr>
              <w:fldChar w:fldCharType="separate"/>
            </w:r>
            <w:r w:rsidR="0010294F">
              <w:rPr>
                <w:b/>
                <w:noProof/>
              </w:rPr>
              <w:t>15</w:t>
            </w:r>
            <w:r w:rsidRPr="00545A08">
              <w:rPr>
                <w:b/>
              </w:rPr>
              <w:fldChar w:fldCharType="end"/>
            </w:r>
            <w:r w:rsidR="00051906" w:rsidRPr="00051906">
              <w:rPr>
                <w:rFonts w:eastAsia="Times New Roman"/>
                <w:b/>
                <w:bCs/>
              </w:rPr>
              <w:t xml:space="preserve">:  Overall </w:t>
            </w:r>
            <w:r w:rsidR="00051906" w:rsidRPr="00051906">
              <w:rPr>
                <w:rFonts w:eastAsia="Times New Roman"/>
                <w:b/>
                <w:bCs/>
                <w:color w:val="000000"/>
              </w:rPr>
              <w:t>Findings of STE Student Teacher Evaluations by Term</w:t>
            </w:r>
            <w:bookmarkEnd w:id="40"/>
          </w:p>
        </w:tc>
      </w:tr>
      <w:tr w:rsidR="00051906" w:rsidRPr="00051906" w14:paraId="18C0033D" w14:textId="77777777" w:rsidTr="00484377">
        <w:trPr>
          <w:trHeight w:val="300"/>
        </w:trPr>
        <w:tc>
          <w:tcPr>
            <w:tcW w:w="8517" w:type="dxa"/>
            <w:gridSpan w:val="12"/>
            <w:tcBorders>
              <w:top w:val="nil"/>
              <w:left w:val="nil"/>
              <w:bottom w:val="single" w:sz="4" w:space="0" w:color="auto"/>
              <w:right w:val="nil"/>
            </w:tcBorders>
            <w:shd w:val="clear" w:color="auto" w:fill="auto"/>
            <w:noWrap/>
            <w:vAlign w:val="bottom"/>
            <w:hideMark/>
          </w:tcPr>
          <w:p w14:paraId="2174CBED" w14:textId="77777777" w:rsidR="00051906" w:rsidRPr="00051906" w:rsidRDefault="00051906" w:rsidP="00484377">
            <w:pPr>
              <w:spacing w:before="0" w:after="0" w:line="240" w:lineRule="auto"/>
              <w:jc w:val="center"/>
              <w:rPr>
                <w:rFonts w:eastAsia="Times New Roman"/>
                <w:b/>
                <w:bCs/>
                <w:color w:val="000000"/>
              </w:rPr>
            </w:pPr>
            <w:r w:rsidRPr="00051906">
              <w:rPr>
                <w:rFonts w:eastAsia="Times New Roman"/>
                <w:b/>
                <w:bCs/>
                <w:color w:val="000000"/>
              </w:rPr>
              <w:t>Percentage of Responses by Qualifier</w:t>
            </w:r>
          </w:p>
        </w:tc>
      </w:tr>
      <w:tr w:rsidR="00051906" w:rsidRPr="00051906" w14:paraId="554FEF12" w14:textId="77777777" w:rsidTr="00484377">
        <w:trPr>
          <w:trHeight w:val="300"/>
        </w:trPr>
        <w:tc>
          <w:tcPr>
            <w:tcW w:w="1181" w:type="dxa"/>
            <w:tcBorders>
              <w:top w:val="nil"/>
              <w:left w:val="nil"/>
              <w:bottom w:val="nil"/>
              <w:right w:val="nil"/>
            </w:tcBorders>
            <w:shd w:val="clear" w:color="auto" w:fill="auto"/>
            <w:noWrap/>
            <w:vAlign w:val="bottom"/>
            <w:hideMark/>
          </w:tcPr>
          <w:p w14:paraId="19490139" w14:textId="77777777" w:rsidR="00051906" w:rsidRPr="00051906" w:rsidRDefault="00051906" w:rsidP="00484377">
            <w:pPr>
              <w:spacing w:before="0" w:after="0" w:line="240" w:lineRule="auto"/>
              <w:jc w:val="center"/>
              <w:rPr>
                <w:rFonts w:eastAsia="Times New Roman"/>
                <w:b/>
                <w:bCs/>
                <w:color w:val="000000"/>
                <w:sz w:val="22"/>
              </w:rPr>
            </w:pPr>
          </w:p>
        </w:tc>
        <w:tc>
          <w:tcPr>
            <w:tcW w:w="3668" w:type="dxa"/>
            <w:gridSpan w:val="6"/>
            <w:tcBorders>
              <w:top w:val="single" w:sz="4" w:space="0" w:color="auto"/>
              <w:left w:val="nil"/>
              <w:bottom w:val="single" w:sz="4" w:space="0" w:color="auto"/>
              <w:right w:val="nil"/>
            </w:tcBorders>
            <w:shd w:val="clear" w:color="auto" w:fill="auto"/>
            <w:noWrap/>
            <w:vAlign w:val="bottom"/>
            <w:hideMark/>
          </w:tcPr>
          <w:p w14:paraId="20C094D1"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Mid</w:t>
            </w:r>
            <w:r w:rsidR="00484377">
              <w:rPr>
                <w:rFonts w:eastAsia="Times New Roman"/>
                <w:b/>
                <w:bCs/>
                <w:color w:val="000000"/>
                <w:sz w:val="22"/>
              </w:rPr>
              <w:t>-</w:t>
            </w:r>
            <w:r w:rsidRPr="00051906">
              <w:rPr>
                <w:rFonts w:eastAsia="Times New Roman"/>
                <w:b/>
                <w:bCs/>
                <w:color w:val="000000"/>
                <w:sz w:val="22"/>
              </w:rPr>
              <w:t>Term</w:t>
            </w:r>
          </w:p>
        </w:tc>
        <w:tc>
          <w:tcPr>
            <w:tcW w:w="3668" w:type="dxa"/>
            <w:gridSpan w:val="5"/>
            <w:tcBorders>
              <w:top w:val="single" w:sz="4" w:space="0" w:color="auto"/>
              <w:left w:val="nil"/>
              <w:bottom w:val="single" w:sz="4" w:space="0" w:color="auto"/>
              <w:right w:val="nil"/>
            </w:tcBorders>
            <w:shd w:val="clear" w:color="auto" w:fill="auto"/>
            <w:noWrap/>
            <w:vAlign w:val="bottom"/>
            <w:hideMark/>
          </w:tcPr>
          <w:p w14:paraId="1719D6BE"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Final</w:t>
            </w:r>
          </w:p>
        </w:tc>
      </w:tr>
      <w:tr w:rsidR="00051906" w:rsidRPr="00051906" w14:paraId="07D104A0" w14:textId="77777777" w:rsidTr="00484377">
        <w:trPr>
          <w:trHeight w:val="300"/>
        </w:trPr>
        <w:tc>
          <w:tcPr>
            <w:tcW w:w="1181" w:type="dxa"/>
            <w:tcBorders>
              <w:top w:val="single" w:sz="4" w:space="0" w:color="auto"/>
              <w:left w:val="nil"/>
              <w:bottom w:val="nil"/>
              <w:right w:val="nil"/>
            </w:tcBorders>
            <w:shd w:val="clear" w:color="auto" w:fill="auto"/>
            <w:noWrap/>
            <w:vAlign w:val="bottom"/>
            <w:hideMark/>
          </w:tcPr>
          <w:p w14:paraId="76935A48" w14:textId="77777777" w:rsidR="00051906" w:rsidRPr="00051906" w:rsidRDefault="00051906" w:rsidP="00484377">
            <w:pPr>
              <w:spacing w:before="0" w:after="0" w:line="240" w:lineRule="auto"/>
              <w:jc w:val="center"/>
              <w:rPr>
                <w:rFonts w:eastAsia="Times New Roman"/>
                <w:b/>
                <w:bCs/>
                <w:color w:val="000000"/>
                <w:sz w:val="22"/>
              </w:rPr>
            </w:pPr>
          </w:p>
        </w:tc>
        <w:tc>
          <w:tcPr>
            <w:tcW w:w="1255" w:type="dxa"/>
            <w:gridSpan w:val="2"/>
            <w:tcBorders>
              <w:top w:val="nil"/>
              <w:left w:val="nil"/>
              <w:bottom w:val="nil"/>
              <w:right w:val="nil"/>
            </w:tcBorders>
            <w:shd w:val="clear" w:color="auto" w:fill="auto"/>
            <w:noWrap/>
            <w:vAlign w:val="bottom"/>
            <w:hideMark/>
          </w:tcPr>
          <w:p w14:paraId="0DFB66B5"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Exemplary</w:t>
            </w:r>
          </w:p>
        </w:tc>
        <w:tc>
          <w:tcPr>
            <w:tcW w:w="1145" w:type="dxa"/>
            <w:gridSpan w:val="2"/>
            <w:tcBorders>
              <w:top w:val="nil"/>
              <w:left w:val="nil"/>
              <w:bottom w:val="nil"/>
              <w:right w:val="nil"/>
            </w:tcBorders>
            <w:shd w:val="clear" w:color="auto" w:fill="auto"/>
            <w:noWrap/>
            <w:vAlign w:val="bottom"/>
            <w:hideMark/>
          </w:tcPr>
          <w:p w14:paraId="009FEC9F"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Proficient</w:t>
            </w:r>
          </w:p>
        </w:tc>
        <w:tc>
          <w:tcPr>
            <w:tcW w:w="1268" w:type="dxa"/>
            <w:gridSpan w:val="2"/>
            <w:tcBorders>
              <w:top w:val="nil"/>
              <w:left w:val="nil"/>
              <w:bottom w:val="nil"/>
              <w:right w:val="single" w:sz="4" w:space="0" w:color="auto"/>
            </w:tcBorders>
            <w:shd w:val="clear" w:color="auto" w:fill="auto"/>
            <w:noWrap/>
            <w:vAlign w:val="bottom"/>
            <w:hideMark/>
          </w:tcPr>
          <w:p w14:paraId="12455273"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Developing</w:t>
            </w:r>
          </w:p>
        </w:tc>
        <w:tc>
          <w:tcPr>
            <w:tcW w:w="1255" w:type="dxa"/>
            <w:tcBorders>
              <w:top w:val="nil"/>
              <w:left w:val="nil"/>
              <w:bottom w:val="nil"/>
              <w:right w:val="nil"/>
            </w:tcBorders>
            <w:shd w:val="clear" w:color="auto" w:fill="auto"/>
            <w:noWrap/>
            <w:vAlign w:val="bottom"/>
            <w:hideMark/>
          </w:tcPr>
          <w:p w14:paraId="0878D295"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Exemplary</w:t>
            </w:r>
          </w:p>
        </w:tc>
        <w:tc>
          <w:tcPr>
            <w:tcW w:w="1145" w:type="dxa"/>
            <w:gridSpan w:val="2"/>
            <w:tcBorders>
              <w:top w:val="nil"/>
              <w:left w:val="nil"/>
              <w:bottom w:val="nil"/>
              <w:right w:val="nil"/>
            </w:tcBorders>
            <w:shd w:val="clear" w:color="auto" w:fill="auto"/>
            <w:noWrap/>
            <w:vAlign w:val="bottom"/>
            <w:hideMark/>
          </w:tcPr>
          <w:p w14:paraId="1E336414"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Proficient</w:t>
            </w:r>
          </w:p>
        </w:tc>
        <w:tc>
          <w:tcPr>
            <w:tcW w:w="1268" w:type="dxa"/>
            <w:gridSpan w:val="2"/>
            <w:tcBorders>
              <w:top w:val="nil"/>
              <w:left w:val="nil"/>
              <w:bottom w:val="nil"/>
              <w:right w:val="nil"/>
            </w:tcBorders>
            <w:shd w:val="clear" w:color="auto" w:fill="auto"/>
            <w:noWrap/>
            <w:vAlign w:val="bottom"/>
            <w:hideMark/>
          </w:tcPr>
          <w:p w14:paraId="3493091A"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Developing</w:t>
            </w:r>
          </w:p>
        </w:tc>
      </w:tr>
      <w:tr w:rsidR="00051906" w:rsidRPr="00051906" w14:paraId="1A5239E1" w14:textId="77777777" w:rsidTr="00484377">
        <w:trPr>
          <w:trHeight w:val="300"/>
        </w:trPr>
        <w:tc>
          <w:tcPr>
            <w:tcW w:w="1181" w:type="dxa"/>
            <w:tcBorders>
              <w:top w:val="nil"/>
              <w:left w:val="nil"/>
              <w:bottom w:val="nil"/>
              <w:right w:val="nil"/>
            </w:tcBorders>
            <w:shd w:val="clear" w:color="auto" w:fill="auto"/>
            <w:noWrap/>
            <w:vAlign w:val="bottom"/>
            <w:hideMark/>
          </w:tcPr>
          <w:p w14:paraId="78AB259B"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Frequency</w:t>
            </w:r>
          </w:p>
        </w:tc>
        <w:tc>
          <w:tcPr>
            <w:tcW w:w="1255" w:type="dxa"/>
            <w:gridSpan w:val="2"/>
            <w:tcBorders>
              <w:top w:val="nil"/>
              <w:left w:val="nil"/>
              <w:bottom w:val="nil"/>
              <w:right w:val="nil"/>
            </w:tcBorders>
            <w:shd w:val="clear" w:color="auto" w:fill="auto"/>
            <w:noWrap/>
            <w:vAlign w:val="bottom"/>
            <w:hideMark/>
          </w:tcPr>
          <w:p w14:paraId="58CEABB2"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600</w:t>
            </w:r>
          </w:p>
        </w:tc>
        <w:tc>
          <w:tcPr>
            <w:tcW w:w="1145" w:type="dxa"/>
            <w:gridSpan w:val="2"/>
            <w:tcBorders>
              <w:top w:val="nil"/>
              <w:left w:val="nil"/>
              <w:bottom w:val="nil"/>
              <w:right w:val="nil"/>
            </w:tcBorders>
            <w:shd w:val="clear" w:color="auto" w:fill="auto"/>
            <w:noWrap/>
            <w:vAlign w:val="bottom"/>
            <w:hideMark/>
          </w:tcPr>
          <w:p w14:paraId="0B9DC1FB"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3</w:t>
            </w:r>
            <w:r>
              <w:rPr>
                <w:rFonts w:eastAsia="Times New Roman"/>
                <w:color w:val="000000"/>
                <w:sz w:val="22"/>
              </w:rPr>
              <w:t>,</w:t>
            </w:r>
            <w:r w:rsidRPr="00051906">
              <w:rPr>
                <w:rFonts w:eastAsia="Times New Roman"/>
                <w:color w:val="000000"/>
                <w:sz w:val="22"/>
              </w:rPr>
              <w:t>218</w:t>
            </w:r>
          </w:p>
        </w:tc>
        <w:tc>
          <w:tcPr>
            <w:tcW w:w="1268" w:type="dxa"/>
            <w:gridSpan w:val="2"/>
            <w:tcBorders>
              <w:top w:val="nil"/>
              <w:left w:val="nil"/>
              <w:bottom w:val="nil"/>
              <w:right w:val="single" w:sz="4" w:space="0" w:color="auto"/>
            </w:tcBorders>
            <w:shd w:val="clear" w:color="auto" w:fill="auto"/>
            <w:noWrap/>
            <w:vAlign w:val="bottom"/>
            <w:hideMark/>
          </w:tcPr>
          <w:p w14:paraId="3E276664"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503</w:t>
            </w:r>
          </w:p>
        </w:tc>
        <w:tc>
          <w:tcPr>
            <w:tcW w:w="1255" w:type="dxa"/>
            <w:tcBorders>
              <w:top w:val="nil"/>
              <w:left w:val="nil"/>
              <w:bottom w:val="nil"/>
              <w:right w:val="nil"/>
            </w:tcBorders>
            <w:shd w:val="clear" w:color="auto" w:fill="auto"/>
            <w:noWrap/>
            <w:vAlign w:val="bottom"/>
            <w:hideMark/>
          </w:tcPr>
          <w:p w14:paraId="088FEA9D"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1548</w:t>
            </w:r>
          </w:p>
        </w:tc>
        <w:tc>
          <w:tcPr>
            <w:tcW w:w="1145" w:type="dxa"/>
            <w:gridSpan w:val="2"/>
            <w:tcBorders>
              <w:top w:val="nil"/>
              <w:left w:val="nil"/>
              <w:bottom w:val="nil"/>
              <w:right w:val="nil"/>
            </w:tcBorders>
            <w:shd w:val="clear" w:color="auto" w:fill="auto"/>
            <w:noWrap/>
            <w:vAlign w:val="bottom"/>
            <w:hideMark/>
          </w:tcPr>
          <w:p w14:paraId="14284C2D"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2</w:t>
            </w:r>
            <w:r>
              <w:rPr>
                <w:rFonts w:eastAsia="Times New Roman"/>
                <w:color w:val="000000"/>
                <w:sz w:val="22"/>
              </w:rPr>
              <w:t>,</w:t>
            </w:r>
            <w:r w:rsidRPr="00051906">
              <w:rPr>
                <w:rFonts w:eastAsia="Times New Roman"/>
                <w:color w:val="000000"/>
                <w:sz w:val="22"/>
              </w:rPr>
              <w:t>889</w:t>
            </w:r>
          </w:p>
        </w:tc>
        <w:tc>
          <w:tcPr>
            <w:tcW w:w="1268" w:type="dxa"/>
            <w:gridSpan w:val="2"/>
            <w:tcBorders>
              <w:top w:val="nil"/>
              <w:left w:val="nil"/>
              <w:bottom w:val="nil"/>
              <w:right w:val="nil"/>
            </w:tcBorders>
            <w:shd w:val="clear" w:color="auto" w:fill="auto"/>
            <w:noWrap/>
            <w:vAlign w:val="bottom"/>
            <w:hideMark/>
          </w:tcPr>
          <w:p w14:paraId="68FF043B"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61</w:t>
            </w:r>
          </w:p>
        </w:tc>
      </w:tr>
      <w:tr w:rsidR="00051906" w:rsidRPr="00051906" w14:paraId="66481FD9" w14:textId="77777777" w:rsidTr="00484377">
        <w:trPr>
          <w:trHeight w:val="300"/>
        </w:trPr>
        <w:tc>
          <w:tcPr>
            <w:tcW w:w="1181" w:type="dxa"/>
            <w:tcBorders>
              <w:top w:val="nil"/>
              <w:left w:val="nil"/>
              <w:bottom w:val="nil"/>
              <w:right w:val="nil"/>
            </w:tcBorders>
            <w:shd w:val="clear" w:color="auto" w:fill="auto"/>
            <w:noWrap/>
            <w:vAlign w:val="bottom"/>
            <w:hideMark/>
          </w:tcPr>
          <w:p w14:paraId="5F833C89"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Percentage</w:t>
            </w:r>
          </w:p>
        </w:tc>
        <w:tc>
          <w:tcPr>
            <w:tcW w:w="1255" w:type="dxa"/>
            <w:gridSpan w:val="2"/>
            <w:tcBorders>
              <w:top w:val="nil"/>
              <w:left w:val="nil"/>
              <w:bottom w:val="nil"/>
              <w:right w:val="nil"/>
            </w:tcBorders>
            <w:shd w:val="clear" w:color="auto" w:fill="auto"/>
            <w:noWrap/>
            <w:vAlign w:val="bottom"/>
            <w:hideMark/>
          </w:tcPr>
          <w:p w14:paraId="48B63EC4"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14%</w:t>
            </w:r>
          </w:p>
        </w:tc>
        <w:tc>
          <w:tcPr>
            <w:tcW w:w="1145" w:type="dxa"/>
            <w:gridSpan w:val="2"/>
            <w:tcBorders>
              <w:top w:val="nil"/>
              <w:left w:val="nil"/>
              <w:bottom w:val="nil"/>
              <w:right w:val="nil"/>
            </w:tcBorders>
            <w:shd w:val="clear" w:color="auto" w:fill="auto"/>
            <w:noWrap/>
            <w:vAlign w:val="bottom"/>
            <w:hideMark/>
          </w:tcPr>
          <w:p w14:paraId="1292CDBB"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74%</w:t>
            </w:r>
          </w:p>
        </w:tc>
        <w:tc>
          <w:tcPr>
            <w:tcW w:w="1268" w:type="dxa"/>
            <w:gridSpan w:val="2"/>
            <w:tcBorders>
              <w:top w:val="nil"/>
              <w:left w:val="nil"/>
              <w:bottom w:val="nil"/>
              <w:right w:val="single" w:sz="4" w:space="0" w:color="auto"/>
            </w:tcBorders>
            <w:shd w:val="clear" w:color="auto" w:fill="auto"/>
            <w:noWrap/>
            <w:vAlign w:val="bottom"/>
            <w:hideMark/>
          </w:tcPr>
          <w:p w14:paraId="24EB4152"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12%</w:t>
            </w:r>
          </w:p>
        </w:tc>
        <w:tc>
          <w:tcPr>
            <w:tcW w:w="1255" w:type="dxa"/>
            <w:tcBorders>
              <w:top w:val="nil"/>
              <w:left w:val="nil"/>
              <w:bottom w:val="nil"/>
              <w:right w:val="nil"/>
            </w:tcBorders>
            <w:shd w:val="clear" w:color="auto" w:fill="auto"/>
            <w:noWrap/>
            <w:vAlign w:val="bottom"/>
            <w:hideMark/>
          </w:tcPr>
          <w:p w14:paraId="7035BE14"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34%</w:t>
            </w:r>
          </w:p>
        </w:tc>
        <w:tc>
          <w:tcPr>
            <w:tcW w:w="1145" w:type="dxa"/>
            <w:gridSpan w:val="2"/>
            <w:tcBorders>
              <w:top w:val="nil"/>
              <w:left w:val="nil"/>
              <w:bottom w:val="nil"/>
              <w:right w:val="nil"/>
            </w:tcBorders>
            <w:shd w:val="clear" w:color="auto" w:fill="auto"/>
            <w:noWrap/>
            <w:vAlign w:val="bottom"/>
            <w:hideMark/>
          </w:tcPr>
          <w:p w14:paraId="58C9F68E"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64%</w:t>
            </w:r>
          </w:p>
        </w:tc>
        <w:tc>
          <w:tcPr>
            <w:tcW w:w="1268" w:type="dxa"/>
            <w:gridSpan w:val="2"/>
            <w:tcBorders>
              <w:top w:val="nil"/>
              <w:left w:val="nil"/>
              <w:bottom w:val="nil"/>
              <w:right w:val="nil"/>
            </w:tcBorders>
            <w:shd w:val="clear" w:color="auto" w:fill="auto"/>
            <w:noWrap/>
            <w:vAlign w:val="bottom"/>
            <w:hideMark/>
          </w:tcPr>
          <w:p w14:paraId="57049800"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1%</w:t>
            </w:r>
          </w:p>
        </w:tc>
      </w:tr>
      <w:tr w:rsidR="00051906" w:rsidRPr="00051906" w14:paraId="2A4E4DAA" w14:textId="77777777" w:rsidTr="00484377">
        <w:trPr>
          <w:trHeight w:val="300"/>
        </w:trPr>
        <w:tc>
          <w:tcPr>
            <w:tcW w:w="2436" w:type="dxa"/>
            <w:gridSpan w:val="3"/>
            <w:tcBorders>
              <w:top w:val="nil"/>
              <w:left w:val="nil"/>
              <w:bottom w:val="single" w:sz="4" w:space="0" w:color="auto"/>
              <w:right w:val="nil"/>
            </w:tcBorders>
            <w:shd w:val="clear" w:color="auto" w:fill="auto"/>
            <w:noWrap/>
            <w:vAlign w:val="bottom"/>
            <w:hideMark/>
          </w:tcPr>
          <w:p w14:paraId="77FABE97" w14:textId="77777777" w:rsidR="00051906" w:rsidRPr="00051906" w:rsidRDefault="00051906" w:rsidP="00484377">
            <w:pPr>
              <w:spacing w:before="0" w:after="0" w:line="240" w:lineRule="auto"/>
              <w:jc w:val="center"/>
              <w:rPr>
                <w:rFonts w:eastAsia="Times New Roman"/>
                <w:color w:val="000000"/>
                <w:sz w:val="22"/>
              </w:rPr>
            </w:pPr>
            <w:r w:rsidRPr="00051906">
              <w:rPr>
                <w:rFonts w:eastAsia="Times New Roman"/>
                <w:color w:val="000000"/>
                <w:sz w:val="22"/>
              </w:rPr>
              <w:t>Exemplary/Proficient</w:t>
            </w:r>
          </w:p>
        </w:tc>
        <w:tc>
          <w:tcPr>
            <w:tcW w:w="1145" w:type="dxa"/>
            <w:gridSpan w:val="2"/>
            <w:tcBorders>
              <w:top w:val="nil"/>
              <w:left w:val="nil"/>
              <w:bottom w:val="single" w:sz="4" w:space="0" w:color="auto"/>
              <w:right w:val="nil"/>
            </w:tcBorders>
            <w:shd w:val="clear" w:color="auto" w:fill="auto"/>
            <w:noWrap/>
            <w:vAlign w:val="bottom"/>
            <w:hideMark/>
          </w:tcPr>
          <w:p w14:paraId="696EA33C"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88%</w:t>
            </w:r>
          </w:p>
        </w:tc>
        <w:tc>
          <w:tcPr>
            <w:tcW w:w="1268" w:type="dxa"/>
            <w:gridSpan w:val="2"/>
            <w:tcBorders>
              <w:top w:val="nil"/>
              <w:left w:val="nil"/>
              <w:bottom w:val="single" w:sz="4" w:space="0" w:color="auto"/>
              <w:right w:val="single" w:sz="4" w:space="0" w:color="auto"/>
            </w:tcBorders>
            <w:shd w:val="clear" w:color="auto" w:fill="auto"/>
            <w:noWrap/>
            <w:vAlign w:val="bottom"/>
            <w:hideMark/>
          </w:tcPr>
          <w:p w14:paraId="547922B7" w14:textId="77777777" w:rsidR="00051906" w:rsidRPr="00051906" w:rsidRDefault="00051906" w:rsidP="00484377">
            <w:pPr>
              <w:spacing w:before="0" w:after="0" w:line="240" w:lineRule="auto"/>
              <w:jc w:val="center"/>
              <w:rPr>
                <w:rFonts w:eastAsia="Times New Roman"/>
                <w:color w:val="000000"/>
                <w:sz w:val="22"/>
              </w:rPr>
            </w:pPr>
          </w:p>
        </w:tc>
        <w:tc>
          <w:tcPr>
            <w:tcW w:w="1255" w:type="dxa"/>
            <w:tcBorders>
              <w:top w:val="nil"/>
              <w:left w:val="nil"/>
              <w:bottom w:val="nil"/>
              <w:right w:val="nil"/>
            </w:tcBorders>
            <w:shd w:val="clear" w:color="auto" w:fill="auto"/>
            <w:noWrap/>
            <w:vAlign w:val="bottom"/>
            <w:hideMark/>
          </w:tcPr>
          <w:p w14:paraId="4635B23A" w14:textId="77777777" w:rsidR="00051906" w:rsidRPr="00051906" w:rsidRDefault="00051906" w:rsidP="00484377">
            <w:pPr>
              <w:spacing w:before="0" w:after="0" w:line="240" w:lineRule="auto"/>
              <w:jc w:val="center"/>
              <w:rPr>
                <w:rFonts w:eastAsia="Times New Roman"/>
                <w:color w:val="000000"/>
                <w:sz w:val="22"/>
              </w:rPr>
            </w:pPr>
          </w:p>
        </w:tc>
        <w:tc>
          <w:tcPr>
            <w:tcW w:w="1145" w:type="dxa"/>
            <w:gridSpan w:val="2"/>
            <w:tcBorders>
              <w:top w:val="nil"/>
              <w:left w:val="nil"/>
              <w:bottom w:val="nil"/>
              <w:right w:val="nil"/>
            </w:tcBorders>
            <w:shd w:val="clear" w:color="auto" w:fill="auto"/>
            <w:noWrap/>
            <w:vAlign w:val="bottom"/>
            <w:hideMark/>
          </w:tcPr>
          <w:p w14:paraId="15033C8E"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99%</w:t>
            </w:r>
          </w:p>
        </w:tc>
        <w:tc>
          <w:tcPr>
            <w:tcW w:w="1268" w:type="dxa"/>
            <w:gridSpan w:val="2"/>
            <w:tcBorders>
              <w:top w:val="nil"/>
              <w:left w:val="nil"/>
              <w:bottom w:val="nil"/>
              <w:right w:val="nil"/>
            </w:tcBorders>
            <w:shd w:val="clear" w:color="auto" w:fill="auto"/>
            <w:noWrap/>
            <w:vAlign w:val="bottom"/>
            <w:hideMark/>
          </w:tcPr>
          <w:p w14:paraId="3836D320" w14:textId="77777777" w:rsidR="00051906" w:rsidRPr="00051906" w:rsidRDefault="00051906" w:rsidP="00484377">
            <w:pPr>
              <w:spacing w:before="0" w:after="0" w:line="240" w:lineRule="auto"/>
              <w:jc w:val="center"/>
              <w:rPr>
                <w:rFonts w:eastAsia="Times New Roman"/>
                <w:color w:val="000000"/>
                <w:sz w:val="22"/>
              </w:rPr>
            </w:pPr>
          </w:p>
        </w:tc>
      </w:tr>
      <w:tr w:rsidR="00051906" w:rsidRPr="00051906" w14:paraId="776FFAEF" w14:textId="77777777" w:rsidTr="00484377">
        <w:trPr>
          <w:trHeight w:val="300"/>
        </w:trPr>
        <w:tc>
          <w:tcPr>
            <w:tcW w:w="1181" w:type="dxa"/>
            <w:tcBorders>
              <w:top w:val="nil"/>
              <w:left w:val="nil"/>
              <w:bottom w:val="nil"/>
              <w:right w:val="nil"/>
            </w:tcBorders>
            <w:shd w:val="clear" w:color="auto" w:fill="auto"/>
            <w:noWrap/>
            <w:vAlign w:val="bottom"/>
            <w:hideMark/>
          </w:tcPr>
          <w:p w14:paraId="190640D6" w14:textId="77777777" w:rsidR="00051906" w:rsidRPr="00051906" w:rsidRDefault="00051906" w:rsidP="00484377">
            <w:pPr>
              <w:spacing w:before="0" w:after="0" w:line="240" w:lineRule="auto"/>
              <w:jc w:val="center"/>
              <w:rPr>
                <w:rFonts w:eastAsia="Times New Roman"/>
                <w:color w:val="000000"/>
                <w:sz w:val="22"/>
              </w:rPr>
            </w:pPr>
          </w:p>
        </w:tc>
        <w:tc>
          <w:tcPr>
            <w:tcW w:w="1255" w:type="dxa"/>
            <w:gridSpan w:val="2"/>
            <w:tcBorders>
              <w:top w:val="nil"/>
              <w:left w:val="nil"/>
              <w:bottom w:val="nil"/>
              <w:right w:val="nil"/>
            </w:tcBorders>
            <w:shd w:val="clear" w:color="auto" w:fill="auto"/>
            <w:noWrap/>
            <w:vAlign w:val="bottom"/>
            <w:hideMark/>
          </w:tcPr>
          <w:p w14:paraId="1FF20F8F" w14:textId="77777777" w:rsidR="00051906" w:rsidRPr="00051906" w:rsidRDefault="00051906" w:rsidP="00484377">
            <w:pPr>
              <w:spacing w:before="0" w:after="0" w:line="240" w:lineRule="auto"/>
              <w:jc w:val="center"/>
              <w:rPr>
                <w:rFonts w:eastAsia="Times New Roman"/>
                <w:color w:val="000000"/>
                <w:sz w:val="22"/>
              </w:rPr>
            </w:pPr>
          </w:p>
        </w:tc>
        <w:tc>
          <w:tcPr>
            <w:tcW w:w="1145" w:type="dxa"/>
            <w:gridSpan w:val="2"/>
            <w:tcBorders>
              <w:top w:val="nil"/>
              <w:left w:val="nil"/>
              <w:bottom w:val="nil"/>
              <w:right w:val="nil"/>
            </w:tcBorders>
            <w:shd w:val="clear" w:color="auto" w:fill="auto"/>
            <w:noWrap/>
            <w:vAlign w:val="bottom"/>
            <w:hideMark/>
          </w:tcPr>
          <w:p w14:paraId="244BB52C" w14:textId="77777777" w:rsidR="00051906" w:rsidRPr="00051906" w:rsidRDefault="00051906" w:rsidP="00484377">
            <w:pPr>
              <w:spacing w:before="0" w:after="0" w:line="240" w:lineRule="auto"/>
              <w:jc w:val="center"/>
              <w:rPr>
                <w:rFonts w:eastAsia="Times New Roman"/>
                <w:color w:val="000000"/>
                <w:sz w:val="22"/>
              </w:rPr>
            </w:pPr>
          </w:p>
        </w:tc>
        <w:tc>
          <w:tcPr>
            <w:tcW w:w="1268" w:type="dxa"/>
            <w:gridSpan w:val="2"/>
            <w:tcBorders>
              <w:top w:val="nil"/>
              <w:left w:val="nil"/>
              <w:bottom w:val="nil"/>
              <w:right w:val="nil"/>
            </w:tcBorders>
            <w:shd w:val="clear" w:color="auto" w:fill="auto"/>
            <w:noWrap/>
            <w:vAlign w:val="bottom"/>
            <w:hideMark/>
          </w:tcPr>
          <w:p w14:paraId="077212C2"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Change</w:t>
            </w:r>
          </w:p>
        </w:tc>
        <w:tc>
          <w:tcPr>
            <w:tcW w:w="240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E4651AD"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+11%</w:t>
            </w:r>
          </w:p>
        </w:tc>
        <w:tc>
          <w:tcPr>
            <w:tcW w:w="1268" w:type="dxa"/>
            <w:gridSpan w:val="2"/>
            <w:tcBorders>
              <w:top w:val="single" w:sz="4" w:space="0" w:color="auto"/>
              <w:left w:val="nil"/>
              <w:bottom w:val="nil"/>
              <w:right w:val="nil"/>
            </w:tcBorders>
            <w:shd w:val="clear" w:color="auto" w:fill="auto"/>
            <w:noWrap/>
            <w:vAlign w:val="bottom"/>
            <w:hideMark/>
          </w:tcPr>
          <w:p w14:paraId="2AB83257"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-11%</w:t>
            </w:r>
          </w:p>
        </w:tc>
      </w:tr>
      <w:tr w:rsidR="00051906" w:rsidRPr="00051906" w14:paraId="7A894977" w14:textId="77777777" w:rsidTr="00484377">
        <w:trPr>
          <w:gridAfter w:val="1"/>
          <w:wAfter w:w="588" w:type="dxa"/>
          <w:trHeight w:val="300"/>
        </w:trPr>
        <w:tc>
          <w:tcPr>
            <w:tcW w:w="1848" w:type="dxa"/>
            <w:gridSpan w:val="2"/>
            <w:tcBorders>
              <w:top w:val="nil"/>
              <w:left w:val="nil"/>
              <w:bottom w:val="single" w:sz="4" w:space="0" w:color="auto"/>
              <w:right w:val="nil"/>
            </w:tcBorders>
            <w:shd w:val="clear" w:color="auto" w:fill="auto"/>
            <w:noWrap/>
            <w:vAlign w:val="bottom"/>
            <w:hideMark/>
          </w:tcPr>
          <w:p w14:paraId="1DFAA008"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Total Responses</w:t>
            </w:r>
          </w:p>
        </w:tc>
        <w:tc>
          <w:tcPr>
            <w:tcW w:w="1145" w:type="dxa"/>
            <w:gridSpan w:val="2"/>
            <w:tcBorders>
              <w:top w:val="nil"/>
              <w:left w:val="nil"/>
              <w:bottom w:val="single" w:sz="4" w:space="0" w:color="auto"/>
              <w:right w:val="nil"/>
            </w:tcBorders>
            <w:shd w:val="clear" w:color="auto" w:fill="auto"/>
            <w:noWrap/>
            <w:vAlign w:val="bottom"/>
            <w:hideMark/>
          </w:tcPr>
          <w:p w14:paraId="32DA1A77"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8,819</w:t>
            </w:r>
          </w:p>
        </w:tc>
        <w:tc>
          <w:tcPr>
            <w:tcW w:w="1268" w:type="dxa"/>
            <w:gridSpan w:val="2"/>
            <w:tcBorders>
              <w:top w:val="nil"/>
              <w:left w:val="nil"/>
              <w:bottom w:val="single" w:sz="4" w:space="0" w:color="auto"/>
              <w:right w:val="nil"/>
            </w:tcBorders>
            <w:shd w:val="clear" w:color="auto" w:fill="auto"/>
            <w:noWrap/>
            <w:vAlign w:val="bottom"/>
            <w:hideMark/>
          </w:tcPr>
          <w:p w14:paraId="74360C9C"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Qualifier</w:t>
            </w:r>
          </w:p>
        </w:tc>
        <w:tc>
          <w:tcPr>
            <w:tcW w:w="240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88EC484"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Exemplary/Proficient</w:t>
            </w:r>
          </w:p>
        </w:tc>
        <w:tc>
          <w:tcPr>
            <w:tcW w:w="1268" w:type="dxa"/>
            <w:gridSpan w:val="2"/>
            <w:tcBorders>
              <w:top w:val="nil"/>
              <w:left w:val="nil"/>
              <w:bottom w:val="single" w:sz="4" w:space="0" w:color="auto"/>
              <w:right w:val="nil"/>
            </w:tcBorders>
            <w:shd w:val="clear" w:color="auto" w:fill="auto"/>
            <w:noWrap/>
            <w:vAlign w:val="bottom"/>
            <w:hideMark/>
          </w:tcPr>
          <w:p w14:paraId="7815E1ED" w14:textId="77777777" w:rsidR="00051906" w:rsidRPr="00051906" w:rsidRDefault="00051906" w:rsidP="00484377">
            <w:pPr>
              <w:spacing w:before="0" w:after="0" w:line="240" w:lineRule="auto"/>
              <w:jc w:val="center"/>
              <w:rPr>
                <w:rFonts w:eastAsia="Times New Roman"/>
                <w:b/>
                <w:bCs/>
                <w:color w:val="000000"/>
                <w:sz w:val="22"/>
              </w:rPr>
            </w:pPr>
            <w:r w:rsidRPr="00051906">
              <w:rPr>
                <w:rFonts w:eastAsia="Times New Roman"/>
                <w:b/>
                <w:bCs/>
                <w:color w:val="000000"/>
                <w:sz w:val="22"/>
              </w:rPr>
              <w:t>Developing</w:t>
            </w:r>
          </w:p>
        </w:tc>
      </w:tr>
    </w:tbl>
    <w:p w14:paraId="7FD44A8B" w14:textId="77777777" w:rsidR="004C554C" w:rsidRPr="004C554C" w:rsidRDefault="004C554C" w:rsidP="001764CC">
      <w:pPr>
        <w:rPr>
          <w:sz w:val="16"/>
          <w:szCs w:val="16"/>
        </w:rPr>
      </w:pPr>
    </w:p>
    <w:p w14:paraId="0E3CC17E" w14:textId="77777777" w:rsidR="002A3FAB" w:rsidRDefault="00A350FB" w:rsidP="001764CC">
      <w:r>
        <w:t xml:space="preserve">Table 16 continues disaggregation by term of assessment but also by each InTASC Standard.  The first </w:t>
      </w:r>
      <w:r w:rsidR="00484377">
        <w:t>m</w:t>
      </w:r>
      <w:r>
        <w:t>id</w:t>
      </w:r>
      <w:r w:rsidR="00484377">
        <w:t xml:space="preserve"> and f</w:t>
      </w:r>
      <w:r>
        <w:t>inal</w:t>
      </w:r>
      <w:r w:rsidR="00484377">
        <w:t xml:space="preserve"> terms</w:t>
      </w:r>
      <w:r>
        <w:t xml:space="preserve"> comparison for </w:t>
      </w:r>
      <w:r w:rsidR="00484377">
        <w:t>the mentoring teacher (</w:t>
      </w:r>
      <w:r>
        <w:t>MT</w:t>
      </w:r>
      <w:r w:rsidR="00484377">
        <w:t>)</w:t>
      </w:r>
      <w:r>
        <w:t xml:space="preserve"> are the frequency of the responses under the INTASC Standards reordered to correspond to the </w:t>
      </w:r>
      <w:r w:rsidR="00F57E35">
        <w:t xml:space="preserve">current </w:t>
      </w:r>
      <w:r>
        <w:t>InTASC standards</w:t>
      </w:r>
      <w:r w:rsidR="00484377">
        <w:t xml:space="preserve"> (denoted RMT)</w:t>
      </w:r>
      <w:r w:rsidR="00F57E35">
        <w:t xml:space="preserve"> for purpose of comparison</w:t>
      </w:r>
      <w:r>
        <w:t xml:space="preserve">.  </w:t>
      </w:r>
      <w:r w:rsidR="002E6FF4">
        <w:t>The last four columns</w:t>
      </w:r>
      <w:r w:rsidR="00F57E35">
        <w:t xml:space="preserve"> also</w:t>
      </w:r>
      <w:r w:rsidR="002E6FF4">
        <w:t xml:space="preserve"> represent</w:t>
      </w:r>
      <w:r w:rsidR="00F57E35">
        <w:t xml:space="preserve"> the frequency of responses expressed as a percentage of total </w:t>
      </w:r>
      <w:r w:rsidR="002E6FF4">
        <w:t xml:space="preserve">responses </w:t>
      </w:r>
      <w:r w:rsidR="00F57E35">
        <w:t xml:space="preserve">for each specific category ordered as per the </w:t>
      </w:r>
      <w:r w:rsidR="002E6FF4">
        <w:t xml:space="preserve">current InTASC structure.  </w:t>
      </w:r>
      <w:r>
        <w:t xml:space="preserve"> </w:t>
      </w:r>
    </w:p>
    <w:p w14:paraId="4BD7B027" w14:textId="77777777" w:rsidR="004C554C" w:rsidRPr="004C554C" w:rsidRDefault="004C554C" w:rsidP="001764CC">
      <w:pPr>
        <w:rPr>
          <w:sz w:val="16"/>
          <w:szCs w:val="16"/>
        </w:rPr>
      </w:pPr>
    </w:p>
    <w:tbl>
      <w:tblPr>
        <w:tblW w:w="10095" w:type="dxa"/>
        <w:tblInd w:w="93" w:type="dxa"/>
        <w:tblLook w:val="04A0" w:firstRow="1" w:lastRow="0" w:firstColumn="1" w:lastColumn="0" w:noHBand="0" w:noVBand="1"/>
      </w:tblPr>
      <w:tblGrid>
        <w:gridCol w:w="1360"/>
        <w:gridCol w:w="908"/>
        <w:gridCol w:w="964"/>
        <w:gridCol w:w="1009"/>
        <w:gridCol w:w="1009"/>
        <w:gridCol w:w="907"/>
        <w:gridCol w:w="963"/>
        <w:gridCol w:w="2975"/>
      </w:tblGrid>
      <w:tr w:rsidR="00790739" w:rsidRPr="00790739" w14:paraId="028D069F" w14:textId="77777777" w:rsidTr="00790739">
        <w:trPr>
          <w:trHeight w:val="315"/>
        </w:trPr>
        <w:tc>
          <w:tcPr>
            <w:tcW w:w="1360" w:type="dxa"/>
            <w:tcBorders>
              <w:top w:val="single" w:sz="4" w:space="0" w:color="auto"/>
              <w:left w:val="nil"/>
              <w:bottom w:val="single" w:sz="4" w:space="0" w:color="auto"/>
              <w:right w:val="nil"/>
            </w:tcBorders>
            <w:shd w:val="clear" w:color="auto" w:fill="auto"/>
            <w:noWrap/>
            <w:vAlign w:val="bottom"/>
            <w:hideMark/>
          </w:tcPr>
          <w:p w14:paraId="2C8D968B" w14:textId="77777777" w:rsidR="00790739" w:rsidRPr="00790739" w:rsidRDefault="00790739" w:rsidP="00790739">
            <w:pPr>
              <w:spacing w:before="0" w:after="0" w:line="240" w:lineRule="auto"/>
              <w:rPr>
                <w:rFonts w:eastAsia="Times New Roman"/>
                <w:color w:val="000000"/>
                <w:szCs w:val="24"/>
              </w:rPr>
            </w:pPr>
            <w:r w:rsidRPr="00790739">
              <w:rPr>
                <w:rFonts w:eastAsia="Times New Roman"/>
                <w:color w:val="000000"/>
                <w:szCs w:val="24"/>
              </w:rPr>
              <w:t> </w:t>
            </w:r>
          </w:p>
        </w:tc>
        <w:tc>
          <w:tcPr>
            <w:tcW w:w="5760" w:type="dxa"/>
            <w:gridSpan w:val="6"/>
            <w:tcBorders>
              <w:top w:val="single" w:sz="4" w:space="0" w:color="auto"/>
              <w:left w:val="nil"/>
              <w:bottom w:val="single" w:sz="4" w:space="0" w:color="auto"/>
              <w:right w:val="nil"/>
            </w:tcBorders>
            <w:shd w:val="clear" w:color="auto" w:fill="auto"/>
            <w:noWrap/>
            <w:vAlign w:val="center"/>
            <w:hideMark/>
          </w:tcPr>
          <w:p w14:paraId="4ED52C2F" w14:textId="77777777" w:rsidR="00790739" w:rsidRPr="00790739" w:rsidRDefault="00545A08" w:rsidP="00545A08">
            <w:pPr>
              <w:spacing w:before="0" w:after="0" w:line="240" w:lineRule="auto"/>
              <w:jc w:val="center"/>
              <w:rPr>
                <w:rFonts w:eastAsia="Times New Roman"/>
                <w:b/>
                <w:bCs/>
                <w:color w:val="000000"/>
                <w:szCs w:val="24"/>
              </w:rPr>
            </w:pPr>
            <w:bookmarkStart w:id="41" w:name="_Toc492828038"/>
            <w:r w:rsidRPr="00545A08">
              <w:rPr>
                <w:b/>
                <w:szCs w:val="24"/>
              </w:rPr>
              <w:t xml:space="preserve">Table </w:t>
            </w:r>
            <w:r w:rsidRPr="00545A08">
              <w:rPr>
                <w:b/>
                <w:szCs w:val="24"/>
              </w:rPr>
              <w:fldChar w:fldCharType="begin"/>
            </w:r>
            <w:r w:rsidRPr="00545A08">
              <w:rPr>
                <w:b/>
                <w:szCs w:val="24"/>
              </w:rPr>
              <w:instrText xml:space="preserve"> SEQ Table \* ARABIC </w:instrText>
            </w:r>
            <w:r w:rsidRPr="00545A08">
              <w:rPr>
                <w:b/>
                <w:szCs w:val="24"/>
              </w:rPr>
              <w:fldChar w:fldCharType="separate"/>
            </w:r>
            <w:r w:rsidR="0010294F">
              <w:rPr>
                <w:b/>
                <w:noProof/>
                <w:szCs w:val="24"/>
              </w:rPr>
              <w:t>16</w:t>
            </w:r>
            <w:r w:rsidRPr="00545A08">
              <w:rPr>
                <w:b/>
                <w:szCs w:val="24"/>
              </w:rPr>
              <w:fldChar w:fldCharType="end"/>
            </w:r>
            <w:r w:rsidRPr="00545A08">
              <w:rPr>
                <w:b/>
                <w:szCs w:val="24"/>
              </w:rPr>
              <w:t xml:space="preserve">: </w:t>
            </w:r>
            <w:r w:rsidR="00790739" w:rsidRPr="00790739">
              <w:rPr>
                <w:rFonts w:eastAsia="Times New Roman"/>
                <w:b/>
                <w:bCs/>
                <w:szCs w:val="24"/>
              </w:rPr>
              <w:t>Elementary Student Teacher Evaluations</w:t>
            </w:r>
            <w:bookmarkEnd w:id="41"/>
            <w:r w:rsidR="00790739" w:rsidRPr="00790739">
              <w:rPr>
                <w:rFonts w:eastAsia="Times New Roman"/>
                <w:b/>
                <w:bCs/>
                <w:szCs w:val="24"/>
              </w:rPr>
              <w:t xml:space="preserve"> </w:t>
            </w:r>
          </w:p>
        </w:tc>
        <w:tc>
          <w:tcPr>
            <w:tcW w:w="2975" w:type="dxa"/>
            <w:tcBorders>
              <w:top w:val="single" w:sz="4" w:space="0" w:color="auto"/>
              <w:left w:val="nil"/>
              <w:bottom w:val="single" w:sz="4" w:space="0" w:color="auto"/>
              <w:right w:val="nil"/>
            </w:tcBorders>
            <w:shd w:val="clear" w:color="auto" w:fill="auto"/>
            <w:noWrap/>
            <w:vAlign w:val="center"/>
            <w:hideMark/>
          </w:tcPr>
          <w:p w14:paraId="630CF12C" w14:textId="77777777" w:rsidR="00790739" w:rsidRPr="00790739" w:rsidRDefault="00790739" w:rsidP="00790739">
            <w:pPr>
              <w:spacing w:before="0" w:after="0" w:line="240" w:lineRule="auto"/>
              <w:rPr>
                <w:rFonts w:eastAsia="Times New Roman"/>
                <w:color w:val="000000"/>
                <w:szCs w:val="24"/>
              </w:rPr>
            </w:pPr>
            <w:r w:rsidRPr="00790739">
              <w:rPr>
                <w:rFonts w:eastAsia="Times New Roman"/>
                <w:color w:val="000000"/>
                <w:szCs w:val="24"/>
              </w:rPr>
              <w:t> </w:t>
            </w:r>
          </w:p>
        </w:tc>
      </w:tr>
      <w:tr w:rsidR="00790739" w:rsidRPr="00790739" w14:paraId="30A134B5" w14:textId="77777777" w:rsidTr="00790739">
        <w:trPr>
          <w:trHeight w:val="315"/>
        </w:trPr>
        <w:tc>
          <w:tcPr>
            <w:tcW w:w="1360" w:type="dxa"/>
            <w:tcBorders>
              <w:top w:val="nil"/>
              <w:left w:val="nil"/>
              <w:bottom w:val="nil"/>
              <w:right w:val="nil"/>
            </w:tcBorders>
            <w:shd w:val="clear" w:color="auto" w:fill="auto"/>
            <w:noWrap/>
            <w:vAlign w:val="center"/>
            <w:hideMark/>
          </w:tcPr>
          <w:p w14:paraId="7743A8DF"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Program</w:t>
            </w:r>
          </w:p>
        </w:tc>
        <w:tc>
          <w:tcPr>
            <w:tcW w:w="5760" w:type="dxa"/>
            <w:gridSpan w:val="6"/>
            <w:tcBorders>
              <w:top w:val="single" w:sz="4" w:space="0" w:color="auto"/>
              <w:left w:val="nil"/>
              <w:bottom w:val="nil"/>
              <w:right w:val="nil"/>
            </w:tcBorders>
            <w:shd w:val="clear" w:color="auto" w:fill="auto"/>
            <w:noWrap/>
            <w:vAlign w:val="center"/>
            <w:hideMark/>
          </w:tcPr>
          <w:p w14:paraId="79B26C2B"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Percentage of Exemplary/Proficient</w:t>
            </w:r>
          </w:p>
        </w:tc>
        <w:tc>
          <w:tcPr>
            <w:tcW w:w="2975" w:type="dxa"/>
            <w:tcBorders>
              <w:top w:val="nil"/>
              <w:left w:val="nil"/>
              <w:bottom w:val="nil"/>
              <w:right w:val="nil"/>
            </w:tcBorders>
            <w:shd w:val="clear" w:color="auto" w:fill="auto"/>
            <w:noWrap/>
            <w:vAlign w:val="center"/>
            <w:hideMark/>
          </w:tcPr>
          <w:p w14:paraId="4CECB9D0" w14:textId="77777777" w:rsidR="00790739" w:rsidRPr="00790739" w:rsidRDefault="00790739" w:rsidP="00790739">
            <w:pPr>
              <w:spacing w:before="0" w:after="0" w:line="240" w:lineRule="auto"/>
              <w:rPr>
                <w:rFonts w:eastAsia="Times New Roman"/>
                <w:color w:val="000000"/>
                <w:szCs w:val="24"/>
              </w:rPr>
            </w:pPr>
          </w:p>
        </w:tc>
      </w:tr>
      <w:tr w:rsidR="00790739" w:rsidRPr="00790739" w14:paraId="40F14CD7" w14:textId="77777777" w:rsidTr="00790739">
        <w:trPr>
          <w:trHeight w:val="315"/>
        </w:trPr>
        <w:tc>
          <w:tcPr>
            <w:tcW w:w="1360" w:type="dxa"/>
            <w:tcBorders>
              <w:top w:val="nil"/>
              <w:left w:val="nil"/>
              <w:bottom w:val="nil"/>
              <w:right w:val="nil"/>
            </w:tcBorders>
            <w:shd w:val="clear" w:color="auto" w:fill="auto"/>
            <w:noWrap/>
            <w:vAlign w:val="center"/>
            <w:hideMark/>
          </w:tcPr>
          <w:p w14:paraId="336FDCEB"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Evaluator</w:t>
            </w:r>
          </w:p>
        </w:tc>
        <w:tc>
          <w:tcPr>
            <w:tcW w:w="908" w:type="dxa"/>
            <w:tcBorders>
              <w:top w:val="nil"/>
              <w:left w:val="nil"/>
              <w:bottom w:val="nil"/>
              <w:right w:val="nil"/>
            </w:tcBorders>
            <w:shd w:val="clear" w:color="auto" w:fill="auto"/>
            <w:noWrap/>
            <w:vAlign w:val="center"/>
            <w:hideMark/>
          </w:tcPr>
          <w:p w14:paraId="657B030D"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MT</w:t>
            </w:r>
          </w:p>
        </w:tc>
        <w:tc>
          <w:tcPr>
            <w:tcW w:w="964" w:type="dxa"/>
            <w:tcBorders>
              <w:top w:val="nil"/>
              <w:left w:val="nil"/>
              <w:bottom w:val="nil"/>
              <w:right w:val="nil"/>
            </w:tcBorders>
            <w:shd w:val="clear" w:color="auto" w:fill="auto"/>
            <w:noWrap/>
            <w:vAlign w:val="center"/>
            <w:hideMark/>
          </w:tcPr>
          <w:p w14:paraId="3B310834"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MT</w:t>
            </w:r>
          </w:p>
        </w:tc>
        <w:tc>
          <w:tcPr>
            <w:tcW w:w="1009" w:type="dxa"/>
            <w:tcBorders>
              <w:top w:val="nil"/>
              <w:left w:val="nil"/>
              <w:bottom w:val="nil"/>
              <w:right w:val="nil"/>
            </w:tcBorders>
            <w:shd w:val="clear" w:color="auto" w:fill="auto"/>
            <w:noWrap/>
            <w:vAlign w:val="center"/>
            <w:hideMark/>
          </w:tcPr>
          <w:p w14:paraId="63147DBE"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RMT</w:t>
            </w:r>
          </w:p>
        </w:tc>
        <w:tc>
          <w:tcPr>
            <w:tcW w:w="1009" w:type="dxa"/>
            <w:tcBorders>
              <w:top w:val="nil"/>
              <w:left w:val="nil"/>
              <w:bottom w:val="nil"/>
              <w:right w:val="nil"/>
            </w:tcBorders>
            <w:shd w:val="clear" w:color="auto" w:fill="auto"/>
            <w:noWrap/>
            <w:vAlign w:val="center"/>
            <w:hideMark/>
          </w:tcPr>
          <w:p w14:paraId="2428CD79"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RMT</w:t>
            </w:r>
          </w:p>
        </w:tc>
        <w:tc>
          <w:tcPr>
            <w:tcW w:w="907" w:type="dxa"/>
            <w:tcBorders>
              <w:top w:val="nil"/>
              <w:left w:val="nil"/>
              <w:bottom w:val="nil"/>
              <w:right w:val="nil"/>
            </w:tcBorders>
            <w:shd w:val="clear" w:color="auto" w:fill="auto"/>
            <w:noWrap/>
            <w:vAlign w:val="center"/>
            <w:hideMark/>
          </w:tcPr>
          <w:p w14:paraId="4C5F6091"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CS</w:t>
            </w:r>
          </w:p>
        </w:tc>
        <w:tc>
          <w:tcPr>
            <w:tcW w:w="963" w:type="dxa"/>
            <w:tcBorders>
              <w:top w:val="nil"/>
              <w:left w:val="nil"/>
              <w:bottom w:val="nil"/>
              <w:right w:val="nil"/>
            </w:tcBorders>
            <w:shd w:val="clear" w:color="auto" w:fill="auto"/>
            <w:noWrap/>
            <w:vAlign w:val="center"/>
            <w:hideMark/>
          </w:tcPr>
          <w:p w14:paraId="02086AB4"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CS</w:t>
            </w:r>
          </w:p>
        </w:tc>
        <w:tc>
          <w:tcPr>
            <w:tcW w:w="2975" w:type="dxa"/>
            <w:tcBorders>
              <w:top w:val="nil"/>
              <w:left w:val="nil"/>
              <w:bottom w:val="nil"/>
              <w:right w:val="nil"/>
            </w:tcBorders>
            <w:shd w:val="clear" w:color="auto" w:fill="auto"/>
            <w:noWrap/>
            <w:vAlign w:val="bottom"/>
            <w:hideMark/>
          </w:tcPr>
          <w:p w14:paraId="17F22E92" w14:textId="77777777" w:rsidR="00790739" w:rsidRPr="00790739" w:rsidRDefault="00790739" w:rsidP="00790739">
            <w:pPr>
              <w:spacing w:before="0" w:after="0" w:line="240" w:lineRule="auto"/>
              <w:rPr>
                <w:rFonts w:eastAsia="Times New Roman"/>
                <w:color w:val="000000"/>
                <w:szCs w:val="24"/>
              </w:rPr>
            </w:pPr>
          </w:p>
        </w:tc>
      </w:tr>
      <w:tr w:rsidR="00790739" w:rsidRPr="00790739" w14:paraId="280E045C" w14:textId="77777777" w:rsidTr="00790739">
        <w:trPr>
          <w:trHeight w:val="315"/>
        </w:trPr>
        <w:tc>
          <w:tcPr>
            <w:tcW w:w="1360" w:type="dxa"/>
            <w:tcBorders>
              <w:top w:val="nil"/>
              <w:left w:val="nil"/>
              <w:bottom w:val="nil"/>
              <w:right w:val="nil"/>
            </w:tcBorders>
            <w:shd w:val="clear" w:color="auto" w:fill="auto"/>
            <w:noWrap/>
            <w:vAlign w:val="center"/>
            <w:hideMark/>
          </w:tcPr>
          <w:p w14:paraId="041DAE9F"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Time Period</w:t>
            </w:r>
          </w:p>
        </w:tc>
        <w:tc>
          <w:tcPr>
            <w:tcW w:w="908" w:type="dxa"/>
            <w:tcBorders>
              <w:top w:val="nil"/>
              <w:left w:val="nil"/>
              <w:bottom w:val="nil"/>
              <w:right w:val="nil"/>
            </w:tcBorders>
            <w:shd w:val="clear" w:color="auto" w:fill="auto"/>
            <w:noWrap/>
            <w:vAlign w:val="center"/>
            <w:hideMark/>
          </w:tcPr>
          <w:p w14:paraId="01C0CD6D"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Mid</w:t>
            </w:r>
          </w:p>
        </w:tc>
        <w:tc>
          <w:tcPr>
            <w:tcW w:w="964" w:type="dxa"/>
            <w:tcBorders>
              <w:top w:val="nil"/>
              <w:left w:val="nil"/>
              <w:bottom w:val="nil"/>
              <w:right w:val="nil"/>
            </w:tcBorders>
            <w:shd w:val="clear" w:color="auto" w:fill="auto"/>
            <w:noWrap/>
            <w:vAlign w:val="center"/>
            <w:hideMark/>
          </w:tcPr>
          <w:p w14:paraId="5C9582E5"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Final</w:t>
            </w:r>
          </w:p>
        </w:tc>
        <w:tc>
          <w:tcPr>
            <w:tcW w:w="1009" w:type="dxa"/>
            <w:tcBorders>
              <w:top w:val="nil"/>
              <w:left w:val="nil"/>
              <w:bottom w:val="nil"/>
              <w:right w:val="nil"/>
            </w:tcBorders>
            <w:shd w:val="clear" w:color="auto" w:fill="auto"/>
            <w:noWrap/>
            <w:vAlign w:val="center"/>
            <w:hideMark/>
          </w:tcPr>
          <w:p w14:paraId="6ECB8327"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Mid</w:t>
            </w:r>
          </w:p>
        </w:tc>
        <w:tc>
          <w:tcPr>
            <w:tcW w:w="1009" w:type="dxa"/>
            <w:tcBorders>
              <w:top w:val="nil"/>
              <w:left w:val="nil"/>
              <w:bottom w:val="nil"/>
              <w:right w:val="nil"/>
            </w:tcBorders>
            <w:shd w:val="clear" w:color="auto" w:fill="auto"/>
            <w:noWrap/>
            <w:vAlign w:val="center"/>
            <w:hideMark/>
          </w:tcPr>
          <w:p w14:paraId="10735898"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Final</w:t>
            </w:r>
          </w:p>
        </w:tc>
        <w:tc>
          <w:tcPr>
            <w:tcW w:w="907" w:type="dxa"/>
            <w:tcBorders>
              <w:top w:val="nil"/>
              <w:left w:val="nil"/>
              <w:bottom w:val="nil"/>
              <w:right w:val="nil"/>
            </w:tcBorders>
            <w:shd w:val="clear" w:color="auto" w:fill="auto"/>
            <w:noWrap/>
            <w:vAlign w:val="center"/>
            <w:hideMark/>
          </w:tcPr>
          <w:p w14:paraId="341A8893"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Mid</w:t>
            </w:r>
          </w:p>
        </w:tc>
        <w:tc>
          <w:tcPr>
            <w:tcW w:w="963" w:type="dxa"/>
            <w:tcBorders>
              <w:top w:val="nil"/>
              <w:left w:val="nil"/>
              <w:bottom w:val="nil"/>
              <w:right w:val="nil"/>
            </w:tcBorders>
            <w:shd w:val="clear" w:color="auto" w:fill="auto"/>
            <w:noWrap/>
            <w:vAlign w:val="center"/>
            <w:hideMark/>
          </w:tcPr>
          <w:p w14:paraId="78F64292" w14:textId="77777777" w:rsidR="00790739" w:rsidRPr="00790739" w:rsidRDefault="00790739" w:rsidP="00790739">
            <w:pPr>
              <w:spacing w:before="0" w:after="0" w:line="240" w:lineRule="auto"/>
              <w:jc w:val="center"/>
              <w:rPr>
                <w:rFonts w:eastAsia="Times New Roman"/>
                <w:b/>
                <w:bCs/>
                <w:color w:val="000000"/>
                <w:sz w:val="22"/>
              </w:rPr>
            </w:pPr>
            <w:r w:rsidRPr="00790739">
              <w:rPr>
                <w:rFonts w:eastAsia="Times New Roman"/>
                <w:b/>
                <w:bCs/>
                <w:color w:val="000000"/>
                <w:sz w:val="22"/>
              </w:rPr>
              <w:t>Final</w:t>
            </w:r>
          </w:p>
        </w:tc>
        <w:tc>
          <w:tcPr>
            <w:tcW w:w="2975" w:type="dxa"/>
            <w:tcBorders>
              <w:top w:val="nil"/>
              <w:left w:val="nil"/>
              <w:bottom w:val="nil"/>
              <w:right w:val="nil"/>
            </w:tcBorders>
            <w:shd w:val="clear" w:color="auto" w:fill="auto"/>
            <w:noWrap/>
            <w:vAlign w:val="bottom"/>
            <w:hideMark/>
          </w:tcPr>
          <w:p w14:paraId="1A64CCB5" w14:textId="77777777" w:rsidR="00790739" w:rsidRPr="00790739" w:rsidRDefault="00790739" w:rsidP="00790739">
            <w:pPr>
              <w:spacing w:before="0" w:after="0" w:line="240" w:lineRule="auto"/>
              <w:rPr>
                <w:rFonts w:eastAsia="Times New Roman"/>
                <w:color w:val="000000"/>
                <w:szCs w:val="24"/>
              </w:rPr>
            </w:pPr>
          </w:p>
        </w:tc>
      </w:tr>
      <w:tr w:rsidR="00790739" w:rsidRPr="00790739" w14:paraId="59DF6A8D" w14:textId="77777777" w:rsidTr="00790739">
        <w:trPr>
          <w:trHeight w:val="315"/>
        </w:trPr>
        <w:tc>
          <w:tcPr>
            <w:tcW w:w="1360" w:type="dxa"/>
            <w:tcBorders>
              <w:top w:val="nil"/>
              <w:left w:val="nil"/>
              <w:bottom w:val="nil"/>
              <w:right w:val="nil"/>
            </w:tcBorders>
            <w:shd w:val="clear" w:color="auto" w:fill="auto"/>
            <w:noWrap/>
            <w:vAlign w:val="center"/>
            <w:hideMark/>
          </w:tcPr>
          <w:p w14:paraId="3CCA17A3"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Score Range</w:t>
            </w:r>
          </w:p>
        </w:tc>
        <w:tc>
          <w:tcPr>
            <w:tcW w:w="908" w:type="dxa"/>
            <w:tcBorders>
              <w:top w:val="nil"/>
              <w:left w:val="nil"/>
              <w:bottom w:val="nil"/>
              <w:right w:val="nil"/>
            </w:tcBorders>
            <w:shd w:val="clear" w:color="auto" w:fill="auto"/>
            <w:noWrap/>
            <w:vAlign w:val="center"/>
            <w:hideMark/>
          </w:tcPr>
          <w:p w14:paraId="2FF9965E"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0-3</w:t>
            </w:r>
          </w:p>
        </w:tc>
        <w:tc>
          <w:tcPr>
            <w:tcW w:w="964" w:type="dxa"/>
            <w:tcBorders>
              <w:top w:val="nil"/>
              <w:left w:val="nil"/>
              <w:bottom w:val="nil"/>
              <w:right w:val="nil"/>
            </w:tcBorders>
            <w:shd w:val="clear" w:color="auto" w:fill="auto"/>
            <w:noWrap/>
            <w:vAlign w:val="center"/>
            <w:hideMark/>
          </w:tcPr>
          <w:p w14:paraId="150A58F0"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0-3</w:t>
            </w:r>
          </w:p>
        </w:tc>
        <w:tc>
          <w:tcPr>
            <w:tcW w:w="1009" w:type="dxa"/>
            <w:tcBorders>
              <w:top w:val="nil"/>
              <w:left w:val="nil"/>
              <w:bottom w:val="nil"/>
              <w:right w:val="nil"/>
            </w:tcBorders>
            <w:shd w:val="clear" w:color="auto" w:fill="auto"/>
            <w:noWrap/>
            <w:vAlign w:val="center"/>
            <w:hideMark/>
          </w:tcPr>
          <w:p w14:paraId="490298EC"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0-3</w:t>
            </w:r>
          </w:p>
        </w:tc>
        <w:tc>
          <w:tcPr>
            <w:tcW w:w="1009" w:type="dxa"/>
            <w:tcBorders>
              <w:top w:val="nil"/>
              <w:left w:val="nil"/>
              <w:bottom w:val="nil"/>
              <w:right w:val="nil"/>
            </w:tcBorders>
            <w:shd w:val="clear" w:color="auto" w:fill="auto"/>
            <w:noWrap/>
            <w:vAlign w:val="center"/>
            <w:hideMark/>
          </w:tcPr>
          <w:p w14:paraId="03B1763F"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0-3</w:t>
            </w:r>
          </w:p>
        </w:tc>
        <w:tc>
          <w:tcPr>
            <w:tcW w:w="907" w:type="dxa"/>
            <w:tcBorders>
              <w:top w:val="nil"/>
              <w:left w:val="nil"/>
              <w:bottom w:val="nil"/>
              <w:right w:val="nil"/>
            </w:tcBorders>
            <w:shd w:val="clear" w:color="auto" w:fill="auto"/>
            <w:noWrap/>
            <w:vAlign w:val="center"/>
            <w:hideMark/>
          </w:tcPr>
          <w:p w14:paraId="4A120090"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0-3</w:t>
            </w:r>
          </w:p>
        </w:tc>
        <w:tc>
          <w:tcPr>
            <w:tcW w:w="963" w:type="dxa"/>
            <w:tcBorders>
              <w:top w:val="nil"/>
              <w:left w:val="nil"/>
              <w:bottom w:val="nil"/>
              <w:right w:val="nil"/>
            </w:tcBorders>
            <w:shd w:val="clear" w:color="auto" w:fill="auto"/>
            <w:noWrap/>
            <w:vAlign w:val="center"/>
            <w:hideMark/>
          </w:tcPr>
          <w:p w14:paraId="2FAC7E90"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0-3</w:t>
            </w:r>
          </w:p>
        </w:tc>
        <w:tc>
          <w:tcPr>
            <w:tcW w:w="2975" w:type="dxa"/>
            <w:tcBorders>
              <w:top w:val="nil"/>
              <w:left w:val="nil"/>
              <w:bottom w:val="nil"/>
              <w:right w:val="nil"/>
            </w:tcBorders>
            <w:shd w:val="clear" w:color="auto" w:fill="auto"/>
            <w:noWrap/>
            <w:vAlign w:val="bottom"/>
            <w:hideMark/>
          </w:tcPr>
          <w:p w14:paraId="07802385" w14:textId="77777777" w:rsidR="00790739" w:rsidRPr="00790739" w:rsidRDefault="00790739" w:rsidP="00790739">
            <w:pPr>
              <w:spacing w:before="0" w:after="0" w:line="240" w:lineRule="auto"/>
              <w:rPr>
                <w:rFonts w:eastAsia="Times New Roman"/>
                <w:color w:val="000000"/>
                <w:szCs w:val="24"/>
              </w:rPr>
            </w:pPr>
          </w:p>
        </w:tc>
      </w:tr>
      <w:tr w:rsidR="00790739" w:rsidRPr="00790739" w14:paraId="718404C7" w14:textId="77777777" w:rsidTr="00790739">
        <w:trPr>
          <w:trHeight w:val="300"/>
        </w:trPr>
        <w:tc>
          <w:tcPr>
            <w:tcW w:w="1360" w:type="dxa"/>
            <w:tcBorders>
              <w:top w:val="nil"/>
              <w:left w:val="nil"/>
              <w:bottom w:val="single" w:sz="4" w:space="0" w:color="auto"/>
              <w:right w:val="nil"/>
            </w:tcBorders>
            <w:shd w:val="clear" w:color="auto" w:fill="auto"/>
            <w:noWrap/>
            <w:vAlign w:val="center"/>
            <w:hideMark/>
          </w:tcPr>
          <w:p w14:paraId="6B0776C4"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Standard</w:t>
            </w:r>
          </w:p>
        </w:tc>
        <w:tc>
          <w:tcPr>
            <w:tcW w:w="908" w:type="dxa"/>
            <w:tcBorders>
              <w:top w:val="nil"/>
              <w:left w:val="nil"/>
              <w:bottom w:val="single" w:sz="4" w:space="0" w:color="auto"/>
              <w:right w:val="nil"/>
            </w:tcBorders>
            <w:shd w:val="clear" w:color="auto" w:fill="auto"/>
            <w:noWrap/>
            <w:vAlign w:val="center"/>
            <w:hideMark/>
          </w:tcPr>
          <w:p w14:paraId="18642B5A"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N=14</w:t>
            </w:r>
          </w:p>
        </w:tc>
        <w:tc>
          <w:tcPr>
            <w:tcW w:w="964" w:type="dxa"/>
            <w:tcBorders>
              <w:top w:val="nil"/>
              <w:left w:val="nil"/>
              <w:bottom w:val="single" w:sz="4" w:space="0" w:color="auto"/>
              <w:right w:val="nil"/>
            </w:tcBorders>
            <w:shd w:val="clear" w:color="auto" w:fill="auto"/>
            <w:noWrap/>
            <w:vAlign w:val="center"/>
            <w:hideMark/>
          </w:tcPr>
          <w:p w14:paraId="55DFCFC5"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N=16</w:t>
            </w:r>
          </w:p>
        </w:tc>
        <w:tc>
          <w:tcPr>
            <w:tcW w:w="1009" w:type="dxa"/>
            <w:tcBorders>
              <w:top w:val="nil"/>
              <w:left w:val="nil"/>
              <w:bottom w:val="single" w:sz="4" w:space="0" w:color="auto"/>
              <w:right w:val="nil"/>
            </w:tcBorders>
            <w:shd w:val="clear" w:color="auto" w:fill="auto"/>
            <w:noWrap/>
            <w:vAlign w:val="center"/>
            <w:hideMark/>
          </w:tcPr>
          <w:p w14:paraId="06329BA0"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N=24</w:t>
            </w:r>
          </w:p>
        </w:tc>
        <w:tc>
          <w:tcPr>
            <w:tcW w:w="1009" w:type="dxa"/>
            <w:tcBorders>
              <w:top w:val="nil"/>
              <w:left w:val="nil"/>
              <w:bottom w:val="single" w:sz="4" w:space="0" w:color="auto"/>
              <w:right w:val="nil"/>
            </w:tcBorders>
            <w:shd w:val="clear" w:color="auto" w:fill="auto"/>
            <w:noWrap/>
            <w:vAlign w:val="center"/>
            <w:hideMark/>
          </w:tcPr>
          <w:p w14:paraId="5E89018B"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N=25</w:t>
            </w:r>
          </w:p>
        </w:tc>
        <w:tc>
          <w:tcPr>
            <w:tcW w:w="907" w:type="dxa"/>
            <w:tcBorders>
              <w:top w:val="nil"/>
              <w:left w:val="nil"/>
              <w:bottom w:val="single" w:sz="4" w:space="0" w:color="auto"/>
              <w:right w:val="nil"/>
            </w:tcBorders>
            <w:shd w:val="clear" w:color="auto" w:fill="auto"/>
            <w:noWrap/>
            <w:vAlign w:val="center"/>
            <w:hideMark/>
          </w:tcPr>
          <w:p w14:paraId="490D2915"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N=27</w:t>
            </w:r>
          </w:p>
        </w:tc>
        <w:tc>
          <w:tcPr>
            <w:tcW w:w="963" w:type="dxa"/>
            <w:tcBorders>
              <w:top w:val="nil"/>
              <w:left w:val="nil"/>
              <w:bottom w:val="single" w:sz="4" w:space="0" w:color="auto"/>
              <w:right w:val="nil"/>
            </w:tcBorders>
            <w:shd w:val="clear" w:color="auto" w:fill="auto"/>
            <w:noWrap/>
            <w:vAlign w:val="center"/>
            <w:hideMark/>
          </w:tcPr>
          <w:p w14:paraId="18EDE093" w14:textId="77777777" w:rsidR="00790739" w:rsidRPr="00790739" w:rsidRDefault="00790739" w:rsidP="00790739">
            <w:pPr>
              <w:spacing w:before="0" w:after="0" w:line="240" w:lineRule="auto"/>
              <w:jc w:val="center"/>
              <w:rPr>
                <w:rFonts w:eastAsia="Times New Roman"/>
                <w:b/>
                <w:bCs/>
                <w:color w:val="000000"/>
                <w:sz w:val="20"/>
                <w:szCs w:val="20"/>
              </w:rPr>
            </w:pPr>
            <w:r w:rsidRPr="00790739">
              <w:rPr>
                <w:rFonts w:eastAsia="Times New Roman"/>
                <w:b/>
                <w:bCs/>
                <w:color w:val="000000"/>
                <w:sz w:val="20"/>
                <w:szCs w:val="20"/>
              </w:rPr>
              <w:t>N=27</w:t>
            </w:r>
          </w:p>
        </w:tc>
        <w:tc>
          <w:tcPr>
            <w:tcW w:w="2975" w:type="dxa"/>
            <w:tcBorders>
              <w:top w:val="nil"/>
              <w:left w:val="nil"/>
              <w:bottom w:val="single" w:sz="4" w:space="0" w:color="auto"/>
              <w:right w:val="nil"/>
            </w:tcBorders>
            <w:shd w:val="clear" w:color="auto" w:fill="auto"/>
            <w:noWrap/>
            <w:vAlign w:val="center"/>
            <w:hideMark/>
          </w:tcPr>
          <w:p w14:paraId="78CD27FD"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szCs w:val="20"/>
              </w:rPr>
              <w:t>Number of Candidates</w:t>
            </w:r>
          </w:p>
        </w:tc>
      </w:tr>
      <w:tr w:rsidR="00790739" w:rsidRPr="00790739" w14:paraId="6D06E300" w14:textId="77777777" w:rsidTr="00790739">
        <w:trPr>
          <w:trHeight w:val="300"/>
        </w:trPr>
        <w:tc>
          <w:tcPr>
            <w:tcW w:w="1360" w:type="dxa"/>
            <w:tcBorders>
              <w:top w:val="nil"/>
              <w:left w:val="nil"/>
              <w:bottom w:val="nil"/>
              <w:right w:val="nil"/>
            </w:tcBorders>
            <w:shd w:val="clear" w:color="auto" w:fill="auto"/>
            <w:noWrap/>
            <w:vAlign w:val="center"/>
            <w:hideMark/>
          </w:tcPr>
          <w:p w14:paraId="70B82779"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InTASC 1</w:t>
            </w:r>
          </w:p>
        </w:tc>
        <w:tc>
          <w:tcPr>
            <w:tcW w:w="908" w:type="dxa"/>
            <w:tcBorders>
              <w:top w:val="nil"/>
              <w:left w:val="nil"/>
              <w:bottom w:val="nil"/>
              <w:right w:val="nil"/>
            </w:tcBorders>
            <w:shd w:val="clear" w:color="auto" w:fill="auto"/>
            <w:noWrap/>
            <w:vAlign w:val="center"/>
            <w:hideMark/>
          </w:tcPr>
          <w:p w14:paraId="63CF3D6C"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91%</w:t>
            </w:r>
          </w:p>
        </w:tc>
        <w:tc>
          <w:tcPr>
            <w:tcW w:w="964" w:type="dxa"/>
            <w:tcBorders>
              <w:top w:val="nil"/>
              <w:left w:val="nil"/>
              <w:bottom w:val="nil"/>
              <w:right w:val="nil"/>
            </w:tcBorders>
            <w:shd w:val="clear" w:color="auto" w:fill="auto"/>
            <w:noWrap/>
            <w:vAlign w:val="center"/>
            <w:hideMark/>
          </w:tcPr>
          <w:p w14:paraId="20744ACD"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1009" w:type="dxa"/>
            <w:tcBorders>
              <w:top w:val="nil"/>
              <w:left w:val="nil"/>
              <w:bottom w:val="nil"/>
              <w:right w:val="nil"/>
            </w:tcBorders>
            <w:shd w:val="clear" w:color="auto" w:fill="auto"/>
            <w:noWrap/>
            <w:vAlign w:val="center"/>
            <w:hideMark/>
          </w:tcPr>
          <w:p w14:paraId="286669E6"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88%</w:t>
            </w:r>
          </w:p>
        </w:tc>
        <w:tc>
          <w:tcPr>
            <w:tcW w:w="1009" w:type="dxa"/>
            <w:tcBorders>
              <w:top w:val="nil"/>
              <w:left w:val="nil"/>
              <w:bottom w:val="nil"/>
              <w:right w:val="nil"/>
            </w:tcBorders>
            <w:shd w:val="clear" w:color="auto" w:fill="auto"/>
            <w:noWrap/>
            <w:vAlign w:val="center"/>
            <w:hideMark/>
          </w:tcPr>
          <w:p w14:paraId="7BF964B5"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907" w:type="dxa"/>
            <w:tcBorders>
              <w:top w:val="nil"/>
              <w:left w:val="nil"/>
              <w:bottom w:val="nil"/>
              <w:right w:val="nil"/>
            </w:tcBorders>
            <w:shd w:val="clear" w:color="auto" w:fill="auto"/>
            <w:noWrap/>
            <w:vAlign w:val="center"/>
            <w:hideMark/>
          </w:tcPr>
          <w:p w14:paraId="299970E3"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88%</w:t>
            </w:r>
          </w:p>
        </w:tc>
        <w:tc>
          <w:tcPr>
            <w:tcW w:w="963" w:type="dxa"/>
            <w:tcBorders>
              <w:top w:val="nil"/>
              <w:left w:val="nil"/>
              <w:bottom w:val="nil"/>
              <w:right w:val="nil"/>
            </w:tcBorders>
            <w:shd w:val="clear" w:color="auto" w:fill="auto"/>
            <w:noWrap/>
            <w:vAlign w:val="center"/>
            <w:hideMark/>
          </w:tcPr>
          <w:p w14:paraId="7E8C7520"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2975" w:type="dxa"/>
            <w:tcBorders>
              <w:top w:val="nil"/>
              <w:left w:val="nil"/>
              <w:bottom w:val="nil"/>
              <w:right w:val="nil"/>
            </w:tcBorders>
            <w:shd w:val="clear" w:color="auto" w:fill="auto"/>
            <w:noWrap/>
            <w:vAlign w:val="center"/>
            <w:hideMark/>
          </w:tcPr>
          <w:p w14:paraId="6D764375"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rPr>
              <w:t>Learner Development</w:t>
            </w:r>
          </w:p>
        </w:tc>
      </w:tr>
      <w:tr w:rsidR="00790739" w:rsidRPr="00790739" w14:paraId="3E07BFC5" w14:textId="77777777" w:rsidTr="00790739">
        <w:trPr>
          <w:trHeight w:val="300"/>
        </w:trPr>
        <w:tc>
          <w:tcPr>
            <w:tcW w:w="1360" w:type="dxa"/>
            <w:tcBorders>
              <w:top w:val="nil"/>
              <w:left w:val="nil"/>
              <w:bottom w:val="nil"/>
              <w:right w:val="nil"/>
            </w:tcBorders>
            <w:shd w:val="clear" w:color="auto" w:fill="auto"/>
            <w:noWrap/>
            <w:vAlign w:val="center"/>
            <w:hideMark/>
          </w:tcPr>
          <w:p w14:paraId="3C3F6ED0"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InTASC 2</w:t>
            </w:r>
          </w:p>
        </w:tc>
        <w:tc>
          <w:tcPr>
            <w:tcW w:w="908" w:type="dxa"/>
            <w:tcBorders>
              <w:top w:val="nil"/>
              <w:left w:val="nil"/>
              <w:bottom w:val="nil"/>
              <w:right w:val="nil"/>
            </w:tcBorders>
            <w:shd w:val="clear" w:color="auto" w:fill="auto"/>
            <w:noWrap/>
            <w:vAlign w:val="center"/>
            <w:hideMark/>
          </w:tcPr>
          <w:p w14:paraId="688AE61F"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91%</w:t>
            </w:r>
          </w:p>
        </w:tc>
        <w:tc>
          <w:tcPr>
            <w:tcW w:w="964" w:type="dxa"/>
            <w:tcBorders>
              <w:top w:val="nil"/>
              <w:left w:val="nil"/>
              <w:bottom w:val="nil"/>
              <w:right w:val="nil"/>
            </w:tcBorders>
            <w:shd w:val="clear" w:color="auto" w:fill="auto"/>
            <w:noWrap/>
            <w:vAlign w:val="center"/>
            <w:hideMark/>
          </w:tcPr>
          <w:p w14:paraId="33AB14D2"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100%</w:t>
            </w:r>
          </w:p>
        </w:tc>
        <w:tc>
          <w:tcPr>
            <w:tcW w:w="1009" w:type="dxa"/>
            <w:tcBorders>
              <w:top w:val="nil"/>
              <w:left w:val="nil"/>
              <w:bottom w:val="nil"/>
              <w:right w:val="nil"/>
            </w:tcBorders>
            <w:shd w:val="clear" w:color="auto" w:fill="auto"/>
            <w:noWrap/>
            <w:vAlign w:val="center"/>
            <w:hideMark/>
          </w:tcPr>
          <w:p w14:paraId="454A82CC"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88%</w:t>
            </w:r>
          </w:p>
        </w:tc>
        <w:tc>
          <w:tcPr>
            <w:tcW w:w="1009" w:type="dxa"/>
            <w:tcBorders>
              <w:top w:val="nil"/>
              <w:left w:val="nil"/>
              <w:bottom w:val="nil"/>
              <w:right w:val="nil"/>
            </w:tcBorders>
            <w:shd w:val="clear" w:color="auto" w:fill="auto"/>
            <w:noWrap/>
            <w:vAlign w:val="center"/>
            <w:hideMark/>
          </w:tcPr>
          <w:p w14:paraId="5688A306"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907" w:type="dxa"/>
            <w:tcBorders>
              <w:top w:val="nil"/>
              <w:left w:val="nil"/>
              <w:bottom w:val="nil"/>
              <w:right w:val="nil"/>
            </w:tcBorders>
            <w:shd w:val="clear" w:color="auto" w:fill="auto"/>
            <w:noWrap/>
            <w:vAlign w:val="center"/>
            <w:hideMark/>
          </w:tcPr>
          <w:p w14:paraId="52E311FE"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89%</w:t>
            </w:r>
          </w:p>
        </w:tc>
        <w:tc>
          <w:tcPr>
            <w:tcW w:w="963" w:type="dxa"/>
            <w:tcBorders>
              <w:top w:val="nil"/>
              <w:left w:val="nil"/>
              <w:bottom w:val="nil"/>
              <w:right w:val="nil"/>
            </w:tcBorders>
            <w:shd w:val="clear" w:color="auto" w:fill="auto"/>
            <w:noWrap/>
            <w:vAlign w:val="center"/>
            <w:hideMark/>
          </w:tcPr>
          <w:p w14:paraId="6C361DEE"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98%</w:t>
            </w:r>
          </w:p>
        </w:tc>
        <w:tc>
          <w:tcPr>
            <w:tcW w:w="2975" w:type="dxa"/>
            <w:tcBorders>
              <w:top w:val="nil"/>
              <w:left w:val="nil"/>
              <w:bottom w:val="nil"/>
              <w:right w:val="nil"/>
            </w:tcBorders>
            <w:shd w:val="clear" w:color="auto" w:fill="auto"/>
            <w:noWrap/>
            <w:vAlign w:val="center"/>
            <w:hideMark/>
          </w:tcPr>
          <w:p w14:paraId="73271970"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rPr>
              <w:t>Learning Differences</w:t>
            </w:r>
          </w:p>
        </w:tc>
      </w:tr>
      <w:tr w:rsidR="00790739" w:rsidRPr="00790739" w14:paraId="24B6DBD7" w14:textId="77777777" w:rsidTr="00790739">
        <w:trPr>
          <w:trHeight w:val="300"/>
        </w:trPr>
        <w:tc>
          <w:tcPr>
            <w:tcW w:w="1360" w:type="dxa"/>
            <w:tcBorders>
              <w:top w:val="nil"/>
              <w:left w:val="nil"/>
              <w:bottom w:val="nil"/>
              <w:right w:val="nil"/>
            </w:tcBorders>
            <w:shd w:val="clear" w:color="auto" w:fill="auto"/>
            <w:noWrap/>
            <w:vAlign w:val="center"/>
            <w:hideMark/>
          </w:tcPr>
          <w:p w14:paraId="4A54B990"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InTASC 3</w:t>
            </w:r>
          </w:p>
        </w:tc>
        <w:tc>
          <w:tcPr>
            <w:tcW w:w="908" w:type="dxa"/>
            <w:tcBorders>
              <w:top w:val="nil"/>
              <w:left w:val="nil"/>
              <w:bottom w:val="nil"/>
              <w:right w:val="nil"/>
            </w:tcBorders>
            <w:shd w:val="clear" w:color="auto" w:fill="auto"/>
            <w:noWrap/>
            <w:vAlign w:val="center"/>
            <w:hideMark/>
          </w:tcPr>
          <w:p w14:paraId="2F5FB0B7"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87%</w:t>
            </w:r>
          </w:p>
        </w:tc>
        <w:tc>
          <w:tcPr>
            <w:tcW w:w="964" w:type="dxa"/>
            <w:tcBorders>
              <w:top w:val="nil"/>
              <w:left w:val="nil"/>
              <w:bottom w:val="nil"/>
              <w:right w:val="nil"/>
            </w:tcBorders>
            <w:shd w:val="clear" w:color="auto" w:fill="auto"/>
            <w:noWrap/>
            <w:vAlign w:val="center"/>
            <w:hideMark/>
          </w:tcPr>
          <w:p w14:paraId="050B2970"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100%</w:t>
            </w:r>
          </w:p>
        </w:tc>
        <w:tc>
          <w:tcPr>
            <w:tcW w:w="1009" w:type="dxa"/>
            <w:tcBorders>
              <w:top w:val="nil"/>
              <w:left w:val="nil"/>
              <w:bottom w:val="nil"/>
              <w:right w:val="nil"/>
            </w:tcBorders>
            <w:shd w:val="clear" w:color="auto" w:fill="auto"/>
            <w:noWrap/>
            <w:vAlign w:val="center"/>
            <w:hideMark/>
          </w:tcPr>
          <w:p w14:paraId="18414FB5"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89%</w:t>
            </w:r>
          </w:p>
        </w:tc>
        <w:tc>
          <w:tcPr>
            <w:tcW w:w="1009" w:type="dxa"/>
            <w:tcBorders>
              <w:top w:val="nil"/>
              <w:left w:val="nil"/>
              <w:bottom w:val="nil"/>
              <w:right w:val="nil"/>
            </w:tcBorders>
            <w:shd w:val="clear" w:color="auto" w:fill="auto"/>
            <w:noWrap/>
            <w:vAlign w:val="center"/>
            <w:hideMark/>
          </w:tcPr>
          <w:p w14:paraId="1C9B9811"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98%</w:t>
            </w:r>
          </w:p>
        </w:tc>
        <w:tc>
          <w:tcPr>
            <w:tcW w:w="907" w:type="dxa"/>
            <w:tcBorders>
              <w:top w:val="nil"/>
              <w:left w:val="nil"/>
              <w:bottom w:val="nil"/>
              <w:right w:val="nil"/>
            </w:tcBorders>
            <w:shd w:val="clear" w:color="auto" w:fill="auto"/>
            <w:noWrap/>
            <w:vAlign w:val="center"/>
            <w:hideMark/>
          </w:tcPr>
          <w:p w14:paraId="18257854"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89%</w:t>
            </w:r>
          </w:p>
        </w:tc>
        <w:tc>
          <w:tcPr>
            <w:tcW w:w="963" w:type="dxa"/>
            <w:tcBorders>
              <w:top w:val="nil"/>
              <w:left w:val="nil"/>
              <w:bottom w:val="nil"/>
              <w:right w:val="nil"/>
            </w:tcBorders>
            <w:shd w:val="clear" w:color="auto" w:fill="auto"/>
            <w:noWrap/>
            <w:vAlign w:val="center"/>
            <w:hideMark/>
          </w:tcPr>
          <w:p w14:paraId="7085F22C"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98%</w:t>
            </w:r>
          </w:p>
        </w:tc>
        <w:tc>
          <w:tcPr>
            <w:tcW w:w="2975" w:type="dxa"/>
            <w:tcBorders>
              <w:top w:val="nil"/>
              <w:left w:val="nil"/>
              <w:bottom w:val="nil"/>
              <w:right w:val="nil"/>
            </w:tcBorders>
            <w:shd w:val="clear" w:color="auto" w:fill="auto"/>
            <w:noWrap/>
            <w:vAlign w:val="center"/>
            <w:hideMark/>
          </w:tcPr>
          <w:p w14:paraId="5DA88302"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rPr>
              <w:t>Learning Environment</w:t>
            </w:r>
          </w:p>
        </w:tc>
      </w:tr>
      <w:tr w:rsidR="00790739" w:rsidRPr="00790739" w14:paraId="3C0721E6" w14:textId="77777777" w:rsidTr="00790739">
        <w:trPr>
          <w:trHeight w:val="300"/>
        </w:trPr>
        <w:tc>
          <w:tcPr>
            <w:tcW w:w="1360" w:type="dxa"/>
            <w:tcBorders>
              <w:top w:val="nil"/>
              <w:left w:val="nil"/>
              <w:bottom w:val="nil"/>
              <w:right w:val="nil"/>
            </w:tcBorders>
            <w:shd w:val="clear" w:color="auto" w:fill="auto"/>
            <w:noWrap/>
            <w:vAlign w:val="center"/>
            <w:hideMark/>
          </w:tcPr>
          <w:p w14:paraId="161C811A"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InTASC 4</w:t>
            </w:r>
          </w:p>
        </w:tc>
        <w:tc>
          <w:tcPr>
            <w:tcW w:w="908" w:type="dxa"/>
            <w:tcBorders>
              <w:top w:val="nil"/>
              <w:left w:val="nil"/>
              <w:bottom w:val="nil"/>
              <w:right w:val="nil"/>
            </w:tcBorders>
            <w:shd w:val="clear" w:color="auto" w:fill="auto"/>
            <w:noWrap/>
            <w:vAlign w:val="center"/>
            <w:hideMark/>
          </w:tcPr>
          <w:p w14:paraId="5E918C8C"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96%</w:t>
            </w:r>
          </w:p>
        </w:tc>
        <w:tc>
          <w:tcPr>
            <w:tcW w:w="964" w:type="dxa"/>
            <w:tcBorders>
              <w:top w:val="nil"/>
              <w:left w:val="nil"/>
              <w:bottom w:val="nil"/>
              <w:right w:val="nil"/>
            </w:tcBorders>
            <w:shd w:val="clear" w:color="auto" w:fill="auto"/>
            <w:noWrap/>
            <w:vAlign w:val="center"/>
            <w:hideMark/>
          </w:tcPr>
          <w:p w14:paraId="10C9C95A"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97%</w:t>
            </w:r>
          </w:p>
        </w:tc>
        <w:tc>
          <w:tcPr>
            <w:tcW w:w="1009" w:type="dxa"/>
            <w:tcBorders>
              <w:top w:val="nil"/>
              <w:left w:val="nil"/>
              <w:bottom w:val="nil"/>
              <w:right w:val="nil"/>
            </w:tcBorders>
            <w:shd w:val="clear" w:color="auto" w:fill="auto"/>
            <w:noWrap/>
            <w:vAlign w:val="center"/>
            <w:hideMark/>
          </w:tcPr>
          <w:p w14:paraId="283E4A27"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88%</w:t>
            </w:r>
          </w:p>
        </w:tc>
        <w:tc>
          <w:tcPr>
            <w:tcW w:w="1009" w:type="dxa"/>
            <w:tcBorders>
              <w:top w:val="nil"/>
              <w:left w:val="nil"/>
              <w:bottom w:val="nil"/>
              <w:right w:val="nil"/>
            </w:tcBorders>
            <w:shd w:val="clear" w:color="auto" w:fill="auto"/>
            <w:noWrap/>
            <w:vAlign w:val="center"/>
            <w:hideMark/>
          </w:tcPr>
          <w:p w14:paraId="78AF8671"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98%</w:t>
            </w:r>
          </w:p>
        </w:tc>
        <w:tc>
          <w:tcPr>
            <w:tcW w:w="907" w:type="dxa"/>
            <w:tcBorders>
              <w:top w:val="nil"/>
              <w:left w:val="nil"/>
              <w:bottom w:val="nil"/>
              <w:right w:val="nil"/>
            </w:tcBorders>
            <w:shd w:val="clear" w:color="auto" w:fill="auto"/>
            <w:noWrap/>
            <w:vAlign w:val="center"/>
            <w:hideMark/>
          </w:tcPr>
          <w:p w14:paraId="00C599D0"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88%</w:t>
            </w:r>
          </w:p>
        </w:tc>
        <w:tc>
          <w:tcPr>
            <w:tcW w:w="963" w:type="dxa"/>
            <w:tcBorders>
              <w:top w:val="nil"/>
              <w:left w:val="nil"/>
              <w:bottom w:val="nil"/>
              <w:right w:val="nil"/>
            </w:tcBorders>
            <w:shd w:val="clear" w:color="auto" w:fill="auto"/>
            <w:noWrap/>
            <w:vAlign w:val="center"/>
            <w:hideMark/>
          </w:tcPr>
          <w:p w14:paraId="37AA5E4F"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2975" w:type="dxa"/>
            <w:tcBorders>
              <w:top w:val="nil"/>
              <w:left w:val="nil"/>
              <w:bottom w:val="nil"/>
              <w:right w:val="nil"/>
            </w:tcBorders>
            <w:shd w:val="clear" w:color="auto" w:fill="auto"/>
            <w:noWrap/>
            <w:vAlign w:val="center"/>
            <w:hideMark/>
          </w:tcPr>
          <w:p w14:paraId="1DF0DAD0"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rPr>
              <w:t>Content Knowledge</w:t>
            </w:r>
          </w:p>
        </w:tc>
      </w:tr>
      <w:tr w:rsidR="00790739" w:rsidRPr="00790739" w14:paraId="6078EB7C" w14:textId="77777777" w:rsidTr="00790739">
        <w:trPr>
          <w:trHeight w:val="300"/>
        </w:trPr>
        <w:tc>
          <w:tcPr>
            <w:tcW w:w="1360" w:type="dxa"/>
            <w:tcBorders>
              <w:top w:val="nil"/>
              <w:left w:val="nil"/>
              <w:bottom w:val="nil"/>
              <w:right w:val="nil"/>
            </w:tcBorders>
            <w:shd w:val="clear" w:color="auto" w:fill="auto"/>
            <w:noWrap/>
            <w:vAlign w:val="center"/>
            <w:hideMark/>
          </w:tcPr>
          <w:p w14:paraId="78AC4134"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InTASC 5</w:t>
            </w:r>
          </w:p>
        </w:tc>
        <w:tc>
          <w:tcPr>
            <w:tcW w:w="908" w:type="dxa"/>
            <w:tcBorders>
              <w:top w:val="nil"/>
              <w:left w:val="nil"/>
              <w:bottom w:val="nil"/>
              <w:right w:val="nil"/>
            </w:tcBorders>
            <w:shd w:val="clear" w:color="auto" w:fill="auto"/>
            <w:noWrap/>
            <w:vAlign w:val="center"/>
            <w:hideMark/>
          </w:tcPr>
          <w:p w14:paraId="034E6121"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92%</w:t>
            </w:r>
          </w:p>
        </w:tc>
        <w:tc>
          <w:tcPr>
            <w:tcW w:w="964" w:type="dxa"/>
            <w:tcBorders>
              <w:top w:val="nil"/>
              <w:left w:val="nil"/>
              <w:bottom w:val="nil"/>
              <w:right w:val="nil"/>
            </w:tcBorders>
            <w:shd w:val="clear" w:color="auto" w:fill="auto"/>
            <w:noWrap/>
            <w:vAlign w:val="center"/>
            <w:hideMark/>
          </w:tcPr>
          <w:p w14:paraId="70F0DE91"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1009" w:type="dxa"/>
            <w:tcBorders>
              <w:top w:val="nil"/>
              <w:left w:val="nil"/>
              <w:bottom w:val="nil"/>
              <w:right w:val="nil"/>
            </w:tcBorders>
            <w:shd w:val="clear" w:color="auto" w:fill="auto"/>
            <w:noWrap/>
            <w:vAlign w:val="center"/>
            <w:hideMark/>
          </w:tcPr>
          <w:p w14:paraId="639747A1"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89%</w:t>
            </w:r>
          </w:p>
        </w:tc>
        <w:tc>
          <w:tcPr>
            <w:tcW w:w="1009" w:type="dxa"/>
            <w:tcBorders>
              <w:top w:val="nil"/>
              <w:left w:val="nil"/>
              <w:bottom w:val="nil"/>
              <w:right w:val="nil"/>
            </w:tcBorders>
            <w:shd w:val="clear" w:color="auto" w:fill="auto"/>
            <w:noWrap/>
            <w:vAlign w:val="center"/>
            <w:hideMark/>
          </w:tcPr>
          <w:p w14:paraId="3DA3CC12"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98%</w:t>
            </w:r>
          </w:p>
        </w:tc>
        <w:tc>
          <w:tcPr>
            <w:tcW w:w="907" w:type="dxa"/>
            <w:tcBorders>
              <w:top w:val="nil"/>
              <w:left w:val="nil"/>
              <w:bottom w:val="nil"/>
              <w:right w:val="nil"/>
            </w:tcBorders>
            <w:shd w:val="clear" w:color="auto" w:fill="auto"/>
            <w:noWrap/>
            <w:vAlign w:val="center"/>
            <w:hideMark/>
          </w:tcPr>
          <w:p w14:paraId="4FD8AD8C"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74%</w:t>
            </w:r>
          </w:p>
        </w:tc>
        <w:tc>
          <w:tcPr>
            <w:tcW w:w="963" w:type="dxa"/>
            <w:tcBorders>
              <w:top w:val="nil"/>
              <w:left w:val="nil"/>
              <w:bottom w:val="nil"/>
              <w:right w:val="nil"/>
            </w:tcBorders>
            <w:shd w:val="clear" w:color="auto" w:fill="auto"/>
            <w:noWrap/>
            <w:vAlign w:val="center"/>
            <w:hideMark/>
          </w:tcPr>
          <w:p w14:paraId="4686B9FD"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2975" w:type="dxa"/>
            <w:tcBorders>
              <w:top w:val="nil"/>
              <w:left w:val="nil"/>
              <w:bottom w:val="nil"/>
              <w:right w:val="nil"/>
            </w:tcBorders>
            <w:shd w:val="clear" w:color="auto" w:fill="auto"/>
            <w:noWrap/>
            <w:vAlign w:val="center"/>
            <w:hideMark/>
          </w:tcPr>
          <w:p w14:paraId="3999E87E"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rPr>
              <w:t>Application of Content</w:t>
            </w:r>
          </w:p>
        </w:tc>
      </w:tr>
      <w:tr w:rsidR="00790739" w:rsidRPr="00790739" w14:paraId="72D25C4E" w14:textId="77777777" w:rsidTr="00790739">
        <w:trPr>
          <w:trHeight w:val="300"/>
        </w:trPr>
        <w:tc>
          <w:tcPr>
            <w:tcW w:w="1360" w:type="dxa"/>
            <w:tcBorders>
              <w:top w:val="nil"/>
              <w:left w:val="nil"/>
              <w:bottom w:val="nil"/>
              <w:right w:val="nil"/>
            </w:tcBorders>
            <w:shd w:val="clear" w:color="auto" w:fill="auto"/>
            <w:noWrap/>
            <w:vAlign w:val="center"/>
            <w:hideMark/>
          </w:tcPr>
          <w:p w14:paraId="19EED95A"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InTASC 6</w:t>
            </w:r>
          </w:p>
        </w:tc>
        <w:tc>
          <w:tcPr>
            <w:tcW w:w="908" w:type="dxa"/>
            <w:tcBorders>
              <w:top w:val="nil"/>
              <w:left w:val="nil"/>
              <w:bottom w:val="nil"/>
              <w:right w:val="nil"/>
            </w:tcBorders>
            <w:shd w:val="clear" w:color="auto" w:fill="auto"/>
            <w:noWrap/>
            <w:vAlign w:val="center"/>
            <w:hideMark/>
          </w:tcPr>
          <w:p w14:paraId="7B151B59"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74%</w:t>
            </w:r>
          </w:p>
        </w:tc>
        <w:tc>
          <w:tcPr>
            <w:tcW w:w="964" w:type="dxa"/>
            <w:tcBorders>
              <w:top w:val="nil"/>
              <w:left w:val="nil"/>
              <w:bottom w:val="nil"/>
              <w:right w:val="nil"/>
            </w:tcBorders>
            <w:shd w:val="clear" w:color="auto" w:fill="auto"/>
            <w:noWrap/>
            <w:vAlign w:val="center"/>
            <w:hideMark/>
          </w:tcPr>
          <w:p w14:paraId="73C7145F"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97%</w:t>
            </w:r>
          </w:p>
        </w:tc>
        <w:tc>
          <w:tcPr>
            <w:tcW w:w="1009" w:type="dxa"/>
            <w:tcBorders>
              <w:top w:val="nil"/>
              <w:left w:val="nil"/>
              <w:bottom w:val="nil"/>
              <w:right w:val="nil"/>
            </w:tcBorders>
            <w:shd w:val="clear" w:color="auto" w:fill="auto"/>
            <w:noWrap/>
            <w:vAlign w:val="center"/>
            <w:hideMark/>
          </w:tcPr>
          <w:p w14:paraId="37658835"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74%</w:t>
            </w:r>
          </w:p>
        </w:tc>
        <w:tc>
          <w:tcPr>
            <w:tcW w:w="1009" w:type="dxa"/>
            <w:tcBorders>
              <w:top w:val="nil"/>
              <w:left w:val="nil"/>
              <w:bottom w:val="nil"/>
              <w:right w:val="nil"/>
            </w:tcBorders>
            <w:shd w:val="clear" w:color="auto" w:fill="auto"/>
            <w:noWrap/>
            <w:vAlign w:val="center"/>
            <w:hideMark/>
          </w:tcPr>
          <w:p w14:paraId="4D27314B"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907" w:type="dxa"/>
            <w:tcBorders>
              <w:top w:val="nil"/>
              <w:left w:val="nil"/>
              <w:bottom w:val="nil"/>
              <w:right w:val="nil"/>
            </w:tcBorders>
            <w:shd w:val="clear" w:color="auto" w:fill="auto"/>
            <w:noWrap/>
            <w:vAlign w:val="center"/>
            <w:hideMark/>
          </w:tcPr>
          <w:p w14:paraId="739AF47E"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84%</w:t>
            </w:r>
          </w:p>
        </w:tc>
        <w:tc>
          <w:tcPr>
            <w:tcW w:w="963" w:type="dxa"/>
            <w:tcBorders>
              <w:top w:val="nil"/>
              <w:left w:val="nil"/>
              <w:bottom w:val="nil"/>
              <w:right w:val="nil"/>
            </w:tcBorders>
            <w:shd w:val="clear" w:color="auto" w:fill="auto"/>
            <w:noWrap/>
            <w:vAlign w:val="center"/>
            <w:hideMark/>
          </w:tcPr>
          <w:p w14:paraId="1AA27558"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2975" w:type="dxa"/>
            <w:tcBorders>
              <w:top w:val="nil"/>
              <w:left w:val="nil"/>
              <w:bottom w:val="nil"/>
              <w:right w:val="nil"/>
            </w:tcBorders>
            <w:shd w:val="clear" w:color="auto" w:fill="auto"/>
            <w:noWrap/>
            <w:vAlign w:val="center"/>
            <w:hideMark/>
          </w:tcPr>
          <w:p w14:paraId="657C7647"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rPr>
              <w:t>Assessment</w:t>
            </w:r>
          </w:p>
        </w:tc>
      </w:tr>
      <w:tr w:rsidR="00790739" w:rsidRPr="00790739" w14:paraId="6E7D1FFA" w14:textId="77777777" w:rsidTr="00790739">
        <w:trPr>
          <w:trHeight w:val="300"/>
        </w:trPr>
        <w:tc>
          <w:tcPr>
            <w:tcW w:w="1360" w:type="dxa"/>
            <w:tcBorders>
              <w:top w:val="nil"/>
              <w:left w:val="nil"/>
              <w:bottom w:val="nil"/>
              <w:right w:val="nil"/>
            </w:tcBorders>
            <w:shd w:val="clear" w:color="auto" w:fill="auto"/>
            <w:noWrap/>
            <w:vAlign w:val="center"/>
            <w:hideMark/>
          </w:tcPr>
          <w:p w14:paraId="0B2C065D"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InTASC 7</w:t>
            </w:r>
          </w:p>
        </w:tc>
        <w:tc>
          <w:tcPr>
            <w:tcW w:w="908" w:type="dxa"/>
            <w:tcBorders>
              <w:top w:val="nil"/>
              <w:left w:val="nil"/>
              <w:bottom w:val="nil"/>
              <w:right w:val="nil"/>
            </w:tcBorders>
            <w:shd w:val="clear" w:color="auto" w:fill="auto"/>
            <w:noWrap/>
            <w:vAlign w:val="center"/>
            <w:hideMark/>
          </w:tcPr>
          <w:p w14:paraId="32FCD229"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82%</w:t>
            </w:r>
          </w:p>
        </w:tc>
        <w:tc>
          <w:tcPr>
            <w:tcW w:w="964" w:type="dxa"/>
            <w:tcBorders>
              <w:top w:val="nil"/>
              <w:left w:val="nil"/>
              <w:bottom w:val="nil"/>
              <w:right w:val="nil"/>
            </w:tcBorders>
            <w:shd w:val="clear" w:color="auto" w:fill="auto"/>
            <w:noWrap/>
            <w:vAlign w:val="center"/>
            <w:hideMark/>
          </w:tcPr>
          <w:p w14:paraId="28174776"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100%</w:t>
            </w:r>
          </w:p>
        </w:tc>
        <w:tc>
          <w:tcPr>
            <w:tcW w:w="1009" w:type="dxa"/>
            <w:tcBorders>
              <w:top w:val="nil"/>
              <w:left w:val="nil"/>
              <w:bottom w:val="nil"/>
              <w:right w:val="nil"/>
            </w:tcBorders>
            <w:shd w:val="clear" w:color="auto" w:fill="auto"/>
            <w:noWrap/>
            <w:vAlign w:val="center"/>
            <w:hideMark/>
          </w:tcPr>
          <w:p w14:paraId="201D482B"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85%</w:t>
            </w:r>
          </w:p>
        </w:tc>
        <w:tc>
          <w:tcPr>
            <w:tcW w:w="1009" w:type="dxa"/>
            <w:tcBorders>
              <w:top w:val="nil"/>
              <w:left w:val="nil"/>
              <w:bottom w:val="nil"/>
              <w:right w:val="nil"/>
            </w:tcBorders>
            <w:shd w:val="clear" w:color="auto" w:fill="auto"/>
            <w:noWrap/>
            <w:vAlign w:val="center"/>
            <w:hideMark/>
          </w:tcPr>
          <w:p w14:paraId="1E666C58"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98%</w:t>
            </w:r>
          </w:p>
        </w:tc>
        <w:tc>
          <w:tcPr>
            <w:tcW w:w="907" w:type="dxa"/>
            <w:tcBorders>
              <w:top w:val="nil"/>
              <w:left w:val="nil"/>
              <w:bottom w:val="nil"/>
              <w:right w:val="nil"/>
            </w:tcBorders>
            <w:shd w:val="clear" w:color="auto" w:fill="auto"/>
            <w:noWrap/>
            <w:vAlign w:val="center"/>
            <w:hideMark/>
          </w:tcPr>
          <w:p w14:paraId="5A5733D3"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85%</w:t>
            </w:r>
          </w:p>
        </w:tc>
        <w:tc>
          <w:tcPr>
            <w:tcW w:w="963" w:type="dxa"/>
            <w:tcBorders>
              <w:top w:val="nil"/>
              <w:left w:val="nil"/>
              <w:bottom w:val="nil"/>
              <w:right w:val="nil"/>
            </w:tcBorders>
            <w:shd w:val="clear" w:color="auto" w:fill="auto"/>
            <w:noWrap/>
            <w:vAlign w:val="center"/>
            <w:hideMark/>
          </w:tcPr>
          <w:p w14:paraId="5E6C06E8"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98%</w:t>
            </w:r>
          </w:p>
        </w:tc>
        <w:tc>
          <w:tcPr>
            <w:tcW w:w="2975" w:type="dxa"/>
            <w:tcBorders>
              <w:top w:val="nil"/>
              <w:left w:val="nil"/>
              <w:bottom w:val="nil"/>
              <w:right w:val="nil"/>
            </w:tcBorders>
            <w:shd w:val="clear" w:color="auto" w:fill="auto"/>
            <w:noWrap/>
            <w:vAlign w:val="center"/>
            <w:hideMark/>
          </w:tcPr>
          <w:p w14:paraId="7151E9A4"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rPr>
              <w:t>Planning for Instruction</w:t>
            </w:r>
          </w:p>
        </w:tc>
      </w:tr>
      <w:tr w:rsidR="00790739" w:rsidRPr="00790739" w14:paraId="7775D9A2" w14:textId="77777777" w:rsidTr="00790739">
        <w:trPr>
          <w:trHeight w:val="300"/>
        </w:trPr>
        <w:tc>
          <w:tcPr>
            <w:tcW w:w="1360" w:type="dxa"/>
            <w:tcBorders>
              <w:top w:val="nil"/>
              <w:left w:val="nil"/>
              <w:bottom w:val="nil"/>
              <w:right w:val="nil"/>
            </w:tcBorders>
            <w:shd w:val="clear" w:color="auto" w:fill="auto"/>
            <w:noWrap/>
            <w:vAlign w:val="center"/>
            <w:hideMark/>
          </w:tcPr>
          <w:p w14:paraId="5140AD22"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InTASC 8</w:t>
            </w:r>
          </w:p>
        </w:tc>
        <w:tc>
          <w:tcPr>
            <w:tcW w:w="908" w:type="dxa"/>
            <w:tcBorders>
              <w:top w:val="nil"/>
              <w:left w:val="nil"/>
              <w:bottom w:val="nil"/>
              <w:right w:val="nil"/>
            </w:tcBorders>
            <w:shd w:val="clear" w:color="auto" w:fill="auto"/>
            <w:noWrap/>
            <w:vAlign w:val="center"/>
            <w:hideMark/>
          </w:tcPr>
          <w:p w14:paraId="393EE02C"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87%</w:t>
            </w:r>
          </w:p>
        </w:tc>
        <w:tc>
          <w:tcPr>
            <w:tcW w:w="964" w:type="dxa"/>
            <w:tcBorders>
              <w:top w:val="nil"/>
              <w:left w:val="nil"/>
              <w:bottom w:val="nil"/>
              <w:right w:val="nil"/>
            </w:tcBorders>
            <w:shd w:val="clear" w:color="auto" w:fill="auto"/>
            <w:noWrap/>
            <w:vAlign w:val="center"/>
            <w:hideMark/>
          </w:tcPr>
          <w:p w14:paraId="3C2AC443"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98%</w:t>
            </w:r>
          </w:p>
        </w:tc>
        <w:tc>
          <w:tcPr>
            <w:tcW w:w="1009" w:type="dxa"/>
            <w:tcBorders>
              <w:top w:val="nil"/>
              <w:left w:val="nil"/>
              <w:bottom w:val="nil"/>
              <w:right w:val="nil"/>
            </w:tcBorders>
            <w:shd w:val="clear" w:color="auto" w:fill="auto"/>
            <w:noWrap/>
            <w:vAlign w:val="center"/>
            <w:hideMark/>
          </w:tcPr>
          <w:p w14:paraId="4FB814BB"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84%</w:t>
            </w:r>
          </w:p>
        </w:tc>
        <w:tc>
          <w:tcPr>
            <w:tcW w:w="1009" w:type="dxa"/>
            <w:tcBorders>
              <w:top w:val="nil"/>
              <w:left w:val="nil"/>
              <w:bottom w:val="nil"/>
              <w:right w:val="nil"/>
            </w:tcBorders>
            <w:shd w:val="clear" w:color="auto" w:fill="auto"/>
            <w:noWrap/>
            <w:vAlign w:val="center"/>
            <w:hideMark/>
          </w:tcPr>
          <w:p w14:paraId="64003454"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907" w:type="dxa"/>
            <w:tcBorders>
              <w:top w:val="nil"/>
              <w:left w:val="nil"/>
              <w:bottom w:val="nil"/>
              <w:right w:val="nil"/>
            </w:tcBorders>
            <w:shd w:val="clear" w:color="auto" w:fill="auto"/>
            <w:noWrap/>
            <w:vAlign w:val="center"/>
            <w:hideMark/>
          </w:tcPr>
          <w:p w14:paraId="76E47804"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88%</w:t>
            </w:r>
          </w:p>
        </w:tc>
        <w:tc>
          <w:tcPr>
            <w:tcW w:w="963" w:type="dxa"/>
            <w:tcBorders>
              <w:top w:val="nil"/>
              <w:left w:val="nil"/>
              <w:bottom w:val="nil"/>
              <w:right w:val="nil"/>
            </w:tcBorders>
            <w:shd w:val="clear" w:color="auto" w:fill="auto"/>
            <w:noWrap/>
            <w:vAlign w:val="center"/>
            <w:hideMark/>
          </w:tcPr>
          <w:p w14:paraId="35DD3B2C"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98%</w:t>
            </w:r>
          </w:p>
        </w:tc>
        <w:tc>
          <w:tcPr>
            <w:tcW w:w="2975" w:type="dxa"/>
            <w:tcBorders>
              <w:top w:val="nil"/>
              <w:left w:val="nil"/>
              <w:bottom w:val="nil"/>
              <w:right w:val="nil"/>
            </w:tcBorders>
            <w:shd w:val="clear" w:color="auto" w:fill="auto"/>
            <w:noWrap/>
            <w:vAlign w:val="center"/>
            <w:hideMark/>
          </w:tcPr>
          <w:p w14:paraId="0333DB6F"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rPr>
              <w:t>Instructional Strategies</w:t>
            </w:r>
          </w:p>
        </w:tc>
      </w:tr>
      <w:tr w:rsidR="00790739" w:rsidRPr="00790739" w14:paraId="360AE1A3" w14:textId="77777777" w:rsidTr="00790739">
        <w:trPr>
          <w:trHeight w:val="300"/>
        </w:trPr>
        <w:tc>
          <w:tcPr>
            <w:tcW w:w="1360" w:type="dxa"/>
            <w:tcBorders>
              <w:top w:val="nil"/>
              <w:left w:val="nil"/>
              <w:bottom w:val="nil"/>
              <w:right w:val="nil"/>
            </w:tcBorders>
            <w:shd w:val="clear" w:color="auto" w:fill="auto"/>
            <w:noWrap/>
            <w:vAlign w:val="center"/>
            <w:hideMark/>
          </w:tcPr>
          <w:p w14:paraId="7F2B116A"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InTASC 9</w:t>
            </w:r>
          </w:p>
        </w:tc>
        <w:tc>
          <w:tcPr>
            <w:tcW w:w="908" w:type="dxa"/>
            <w:tcBorders>
              <w:top w:val="nil"/>
              <w:left w:val="nil"/>
              <w:bottom w:val="nil"/>
              <w:right w:val="nil"/>
            </w:tcBorders>
            <w:shd w:val="clear" w:color="auto" w:fill="auto"/>
            <w:noWrap/>
            <w:vAlign w:val="center"/>
            <w:hideMark/>
          </w:tcPr>
          <w:p w14:paraId="32480020"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94%</w:t>
            </w:r>
          </w:p>
        </w:tc>
        <w:tc>
          <w:tcPr>
            <w:tcW w:w="964" w:type="dxa"/>
            <w:tcBorders>
              <w:top w:val="nil"/>
              <w:left w:val="nil"/>
              <w:bottom w:val="nil"/>
              <w:right w:val="nil"/>
            </w:tcBorders>
            <w:shd w:val="clear" w:color="auto" w:fill="auto"/>
            <w:noWrap/>
            <w:vAlign w:val="center"/>
            <w:hideMark/>
          </w:tcPr>
          <w:p w14:paraId="0F39A5C4"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100%</w:t>
            </w:r>
          </w:p>
        </w:tc>
        <w:tc>
          <w:tcPr>
            <w:tcW w:w="1009" w:type="dxa"/>
            <w:tcBorders>
              <w:top w:val="nil"/>
              <w:left w:val="nil"/>
              <w:bottom w:val="nil"/>
              <w:right w:val="nil"/>
            </w:tcBorders>
            <w:shd w:val="clear" w:color="auto" w:fill="auto"/>
            <w:noWrap/>
            <w:vAlign w:val="center"/>
            <w:hideMark/>
          </w:tcPr>
          <w:p w14:paraId="31991763"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89%</w:t>
            </w:r>
          </w:p>
        </w:tc>
        <w:tc>
          <w:tcPr>
            <w:tcW w:w="1009" w:type="dxa"/>
            <w:tcBorders>
              <w:top w:val="nil"/>
              <w:left w:val="nil"/>
              <w:bottom w:val="nil"/>
              <w:right w:val="nil"/>
            </w:tcBorders>
            <w:shd w:val="clear" w:color="auto" w:fill="auto"/>
            <w:noWrap/>
            <w:vAlign w:val="center"/>
            <w:hideMark/>
          </w:tcPr>
          <w:p w14:paraId="5922F9DE"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100%</w:t>
            </w:r>
          </w:p>
        </w:tc>
        <w:tc>
          <w:tcPr>
            <w:tcW w:w="907" w:type="dxa"/>
            <w:tcBorders>
              <w:top w:val="nil"/>
              <w:left w:val="nil"/>
              <w:bottom w:val="nil"/>
              <w:right w:val="nil"/>
            </w:tcBorders>
            <w:shd w:val="clear" w:color="auto" w:fill="auto"/>
            <w:noWrap/>
            <w:vAlign w:val="center"/>
            <w:hideMark/>
          </w:tcPr>
          <w:p w14:paraId="2DD8AFBD"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89%</w:t>
            </w:r>
          </w:p>
        </w:tc>
        <w:tc>
          <w:tcPr>
            <w:tcW w:w="963" w:type="dxa"/>
            <w:tcBorders>
              <w:top w:val="nil"/>
              <w:left w:val="nil"/>
              <w:bottom w:val="nil"/>
              <w:right w:val="nil"/>
            </w:tcBorders>
            <w:shd w:val="clear" w:color="auto" w:fill="auto"/>
            <w:noWrap/>
            <w:vAlign w:val="center"/>
            <w:hideMark/>
          </w:tcPr>
          <w:p w14:paraId="6CDAA353"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100%</w:t>
            </w:r>
          </w:p>
        </w:tc>
        <w:tc>
          <w:tcPr>
            <w:tcW w:w="2975" w:type="dxa"/>
            <w:tcBorders>
              <w:top w:val="nil"/>
              <w:left w:val="nil"/>
              <w:bottom w:val="nil"/>
              <w:right w:val="nil"/>
            </w:tcBorders>
            <w:shd w:val="clear" w:color="auto" w:fill="auto"/>
            <w:noWrap/>
            <w:vAlign w:val="center"/>
            <w:hideMark/>
          </w:tcPr>
          <w:p w14:paraId="1AB893CD"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rPr>
              <w:t>Professional Learning</w:t>
            </w:r>
            <w:r w:rsidRPr="00790739">
              <w:rPr>
                <w:rFonts w:eastAsia="Times New Roman"/>
                <w:b/>
                <w:bCs/>
                <w:color w:val="000000"/>
                <w:sz w:val="16"/>
                <w:szCs w:val="16"/>
              </w:rPr>
              <w:t xml:space="preserve"> &amp; </w:t>
            </w:r>
            <w:r w:rsidRPr="00790739">
              <w:rPr>
                <w:rFonts w:eastAsia="Times New Roman"/>
                <w:b/>
                <w:bCs/>
                <w:color w:val="000000"/>
                <w:sz w:val="20"/>
                <w:szCs w:val="20"/>
              </w:rPr>
              <w:t>Ethics</w:t>
            </w:r>
          </w:p>
        </w:tc>
      </w:tr>
      <w:tr w:rsidR="00790739" w:rsidRPr="00790739" w14:paraId="54A12A95" w14:textId="77777777" w:rsidTr="00790739">
        <w:trPr>
          <w:trHeight w:val="300"/>
        </w:trPr>
        <w:tc>
          <w:tcPr>
            <w:tcW w:w="1360" w:type="dxa"/>
            <w:tcBorders>
              <w:top w:val="nil"/>
              <w:left w:val="nil"/>
              <w:bottom w:val="single" w:sz="4" w:space="0" w:color="auto"/>
              <w:right w:val="nil"/>
            </w:tcBorders>
            <w:shd w:val="clear" w:color="auto" w:fill="auto"/>
            <w:noWrap/>
            <w:vAlign w:val="center"/>
            <w:hideMark/>
          </w:tcPr>
          <w:p w14:paraId="5A7EEC9A"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InTASC 10</w:t>
            </w:r>
          </w:p>
        </w:tc>
        <w:tc>
          <w:tcPr>
            <w:tcW w:w="908" w:type="dxa"/>
            <w:tcBorders>
              <w:top w:val="nil"/>
              <w:left w:val="nil"/>
              <w:bottom w:val="single" w:sz="4" w:space="0" w:color="auto"/>
              <w:right w:val="nil"/>
            </w:tcBorders>
            <w:shd w:val="clear" w:color="auto" w:fill="auto"/>
            <w:noWrap/>
            <w:vAlign w:val="center"/>
            <w:hideMark/>
          </w:tcPr>
          <w:p w14:paraId="5247A73C"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89%</w:t>
            </w:r>
          </w:p>
        </w:tc>
        <w:tc>
          <w:tcPr>
            <w:tcW w:w="964" w:type="dxa"/>
            <w:tcBorders>
              <w:top w:val="nil"/>
              <w:left w:val="nil"/>
              <w:bottom w:val="single" w:sz="4" w:space="0" w:color="auto"/>
              <w:right w:val="nil"/>
            </w:tcBorders>
            <w:shd w:val="clear" w:color="auto" w:fill="auto"/>
            <w:noWrap/>
            <w:vAlign w:val="center"/>
            <w:hideMark/>
          </w:tcPr>
          <w:p w14:paraId="21E79A17"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98%</w:t>
            </w:r>
          </w:p>
        </w:tc>
        <w:tc>
          <w:tcPr>
            <w:tcW w:w="1009" w:type="dxa"/>
            <w:tcBorders>
              <w:top w:val="nil"/>
              <w:left w:val="nil"/>
              <w:bottom w:val="single" w:sz="4" w:space="0" w:color="auto"/>
              <w:right w:val="nil"/>
            </w:tcBorders>
            <w:shd w:val="clear" w:color="auto" w:fill="auto"/>
            <w:noWrap/>
            <w:vAlign w:val="center"/>
            <w:hideMark/>
          </w:tcPr>
          <w:p w14:paraId="4D0F3068"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93%</w:t>
            </w:r>
          </w:p>
        </w:tc>
        <w:tc>
          <w:tcPr>
            <w:tcW w:w="1009" w:type="dxa"/>
            <w:tcBorders>
              <w:top w:val="nil"/>
              <w:left w:val="nil"/>
              <w:bottom w:val="single" w:sz="4" w:space="0" w:color="auto"/>
              <w:right w:val="nil"/>
            </w:tcBorders>
            <w:shd w:val="clear" w:color="auto" w:fill="auto"/>
            <w:noWrap/>
            <w:vAlign w:val="center"/>
            <w:hideMark/>
          </w:tcPr>
          <w:p w14:paraId="5AC0EDA1"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100%</w:t>
            </w:r>
          </w:p>
        </w:tc>
        <w:tc>
          <w:tcPr>
            <w:tcW w:w="907" w:type="dxa"/>
            <w:tcBorders>
              <w:top w:val="nil"/>
              <w:left w:val="nil"/>
              <w:bottom w:val="single" w:sz="4" w:space="0" w:color="auto"/>
              <w:right w:val="nil"/>
            </w:tcBorders>
            <w:shd w:val="clear" w:color="auto" w:fill="auto"/>
            <w:noWrap/>
            <w:vAlign w:val="center"/>
            <w:hideMark/>
          </w:tcPr>
          <w:p w14:paraId="36693040"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93%</w:t>
            </w:r>
          </w:p>
        </w:tc>
        <w:tc>
          <w:tcPr>
            <w:tcW w:w="963" w:type="dxa"/>
            <w:tcBorders>
              <w:top w:val="nil"/>
              <w:left w:val="nil"/>
              <w:bottom w:val="single" w:sz="4" w:space="0" w:color="auto"/>
              <w:right w:val="nil"/>
            </w:tcBorders>
            <w:shd w:val="clear" w:color="auto" w:fill="auto"/>
            <w:noWrap/>
            <w:vAlign w:val="center"/>
            <w:hideMark/>
          </w:tcPr>
          <w:p w14:paraId="7C6CDD44"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100%</w:t>
            </w:r>
          </w:p>
        </w:tc>
        <w:tc>
          <w:tcPr>
            <w:tcW w:w="2975" w:type="dxa"/>
            <w:tcBorders>
              <w:top w:val="nil"/>
              <w:left w:val="nil"/>
              <w:bottom w:val="single" w:sz="4" w:space="0" w:color="auto"/>
              <w:right w:val="nil"/>
            </w:tcBorders>
            <w:shd w:val="clear" w:color="auto" w:fill="auto"/>
            <w:noWrap/>
            <w:vAlign w:val="center"/>
            <w:hideMark/>
          </w:tcPr>
          <w:p w14:paraId="7771679F"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rPr>
              <w:t>Leadership</w:t>
            </w:r>
            <w:r w:rsidRPr="00790739">
              <w:rPr>
                <w:rFonts w:eastAsia="Times New Roman"/>
                <w:b/>
                <w:bCs/>
                <w:color w:val="000000"/>
                <w:sz w:val="16"/>
                <w:szCs w:val="16"/>
              </w:rPr>
              <w:t xml:space="preserve"> &amp; </w:t>
            </w:r>
            <w:r w:rsidRPr="00790739">
              <w:rPr>
                <w:rFonts w:eastAsia="Times New Roman"/>
                <w:b/>
                <w:bCs/>
                <w:color w:val="000000"/>
                <w:sz w:val="20"/>
                <w:szCs w:val="20"/>
              </w:rPr>
              <w:t>Collaboration</w:t>
            </w:r>
          </w:p>
        </w:tc>
      </w:tr>
      <w:tr w:rsidR="00790739" w:rsidRPr="00790739" w14:paraId="7259626A" w14:textId="77777777" w:rsidTr="00790739">
        <w:trPr>
          <w:trHeight w:val="300"/>
        </w:trPr>
        <w:tc>
          <w:tcPr>
            <w:tcW w:w="1360" w:type="dxa"/>
            <w:tcBorders>
              <w:top w:val="nil"/>
              <w:left w:val="nil"/>
              <w:bottom w:val="nil"/>
              <w:right w:val="nil"/>
            </w:tcBorders>
            <w:shd w:val="clear" w:color="auto" w:fill="auto"/>
            <w:noWrap/>
            <w:vAlign w:val="center"/>
            <w:hideMark/>
          </w:tcPr>
          <w:p w14:paraId="45EB7EA7" w14:textId="77777777" w:rsidR="00790739" w:rsidRPr="00790739" w:rsidRDefault="00790739" w:rsidP="00790739">
            <w:pPr>
              <w:spacing w:before="0" w:after="0" w:line="240" w:lineRule="auto"/>
              <w:jc w:val="right"/>
              <w:rPr>
                <w:rFonts w:eastAsia="Times New Roman"/>
                <w:b/>
                <w:bCs/>
                <w:color w:val="000000"/>
                <w:sz w:val="20"/>
                <w:szCs w:val="20"/>
              </w:rPr>
            </w:pPr>
            <w:r w:rsidRPr="00790739">
              <w:rPr>
                <w:rFonts w:eastAsia="Times New Roman"/>
                <w:b/>
                <w:bCs/>
                <w:color w:val="000000"/>
                <w:sz w:val="20"/>
                <w:szCs w:val="20"/>
              </w:rPr>
              <w:t>Average</w:t>
            </w:r>
          </w:p>
        </w:tc>
        <w:tc>
          <w:tcPr>
            <w:tcW w:w="908" w:type="dxa"/>
            <w:tcBorders>
              <w:top w:val="nil"/>
              <w:left w:val="nil"/>
              <w:bottom w:val="nil"/>
              <w:right w:val="nil"/>
            </w:tcBorders>
            <w:shd w:val="clear" w:color="auto" w:fill="auto"/>
            <w:noWrap/>
            <w:vAlign w:val="center"/>
            <w:hideMark/>
          </w:tcPr>
          <w:p w14:paraId="7666B56A"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88%</w:t>
            </w:r>
          </w:p>
        </w:tc>
        <w:tc>
          <w:tcPr>
            <w:tcW w:w="964" w:type="dxa"/>
            <w:tcBorders>
              <w:top w:val="nil"/>
              <w:left w:val="nil"/>
              <w:bottom w:val="nil"/>
              <w:right w:val="nil"/>
            </w:tcBorders>
            <w:shd w:val="clear" w:color="auto" w:fill="auto"/>
            <w:noWrap/>
            <w:vAlign w:val="center"/>
            <w:hideMark/>
          </w:tcPr>
          <w:p w14:paraId="5D4AA129"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1009" w:type="dxa"/>
            <w:tcBorders>
              <w:top w:val="nil"/>
              <w:left w:val="nil"/>
              <w:bottom w:val="nil"/>
              <w:right w:val="nil"/>
            </w:tcBorders>
            <w:shd w:val="clear" w:color="auto" w:fill="auto"/>
            <w:noWrap/>
            <w:vAlign w:val="center"/>
            <w:hideMark/>
          </w:tcPr>
          <w:p w14:paraId="13159344"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87%</w:t>
            </w:r>
          </w:p>
        </w:tc>
        <w:tc>
          <w:tcPr>
            <w:tcW w:w="1009" w:type="dxa"/>
            <w:tcBorders>
              <w:top w:val="nil"/>
              <w:left w:val="nil"/>
              <w:bottom w:val="nil"/>
              <w:right w:val="nil"/>
            </w:tcBorders>
            <w:shd w:val="clear" w:color="auto" w:fill="auto"/>
            <w:noWrap/>
            <w:vAlign w:val="center"/>
            <w:hideMark/>
          </w:tcPr>
          <w:p w14:paraId="3DBF445C"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907" w:type="dxa"/>
            <w:tcBorders>
              <w:top w:val="nil"/>
              <w:left w:val="nil"/>
              <w:bottom w:val="nil"/>
              <w:right w:val="nil"/>
            </w:tcBorders>
            <w:shd w:val="clear" w:color="auto" w:fill="auto"/>
            <w:noWrap/>
            <w:vAlign w:val="center"/>
            <w:hideMark/>
          </w:tcPr>
          <w:p w14:paraId="6DAE6126"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87%</w:t>
            </w:r>
          </w:p>
        </w:tc>
        <w:tc>
          <w:tcPr>
            <w:tcW w:w="963" w:type="dxa"/>
            <w:tcBorders>
              <w:top w:val="nil"/>
              <w:left w:val="nil"/>
              <w:bottom w:val="nil"/>
              <w:right w:val="nil"/>
            </w:tcBorders>
            <w:shd w:val="clear" w:color="auto" w:fill="auto"/>
            <w:noWrap/>
            <w:vAlign w:val="center"/>
            <w:hideMark/>
          </w:tcPr>
          <w:p w14:paraId="55D1E5F1" w14:textId="77777777" w:rsidR="00790739" w:rsidRPr="00790739" w:rsidRDefault="00790739" w:rsidP="00790739">
            <w:pPr>
              <w:spacing w:before="0" w:after="0" w:line="240" w:lineRule="auto"/>
              <w:jc w:val="center"/>
              <w:rPr>
                <w:rFonts w:eastAsia="Times New Roman"/>
                <w:color w:val="000000"/>
                <w:sz w:val="20"/>
                <w:szCs w:val="20"/>
              </w:rPr>
            </w:pPr>
            <w:r w:rsidRPr="00790739">
              <w:rPr>
                <w:rFonts w:eastAsia="Times New Roman"/>
                <w:color w:val="000000"/>
                <w:sz w:val="20"/>
                <w:szCs w:val="20"/>
              </w:rPr>
              <w:t>99%</w:t>
            </w:r>
          </w:p>
        </w:tc>
        <w:tc>
          <w:tcPr>
            <w:tcW w:w="2975" w:type="dxa"/>
            <w:tcBorders>
              <w:top w:val="nil"/>
              <w:left w:val="nil"/>
              <w:bottom w:val="nil"/>
              <w:right w:val="nil"/>
            </w:tcBorders>
            <w:shd w:val="clear" w:color="auto" w:fill="auto"/>
            <w:noWrap/>
            <w:vAlign w:val="center"/>
            <w:hideMark/>
          </w:tcPr>
          <w:p w14:paraId="706F2132" w14:textId="77777777" w:rsidR="00790739" w:rsidRPr="00790739" w:rsidRDefault="00790739" w:rsidP="00790739">
            <w:pPr>
              <w:spacing w:before="0" w:after="0" w:line="240" w:lineRule="auto"/>
              <w:rPr>
                <w:rFonts w:eastAsia="Times New Roman"/>
                <w:b/>
                <w:bCs/>
                <w:color w:val="000000"/>
                <w:sz w:val="20"/>
                <w:szCs w:val="20"/>
              </w:rPr>
            </w:pPr>
            <w:r w:rsidRPr="00790739">
              <w:rPr>
                <w:rFonts w:eastAsia="Times New Roman"/>
                <w:b/>
                <w:bCs/>
                <w:color w:val="000000"/>
                <w:sz w:val="20"/>
              </w:rPr>
              <w:t>Average all Standards</w:t>
            </w:r>
          </w:p>
        </w:tc>
      </w:tr>
      <w:tr w:rsidR="00790739" w:rsidRPr="00790739" w14:paraId="3C6BBCDC" w14:textId="77777777" w:rsidTr="00790739">
        <w:trPr>
          <w:trHeight w:val="300"/>
        </w:trPr>
        <w:tc>
          <w:tcPr>
            <w:tcW w:w="3232" w:type="dxa"/>
            <w:gridSpan w:val="3"/>
            <w:tcBorders>
              <w:top w:val="nil"/>
              <w:left w:val="nil"/>
              <w:bottom w:val="single" w:sz="4" w:space="0" w:color="auto"/>
              <w:right w:val="nil"/>
            </w:tcBorders>
            <w:shd w:val="clear" w:color="auto" w:fill="auto"/>
            <w:noWrap/>
            <w:vAlign w:val="center"/>
            <w:hideMark/>
          </w:tcPr>
          <w:p w14:paraId="6A216209" w14:textId="77777777" w:rsidR="00790739" w:rsidRPr="00790739" w:rsidRDefault="00790739" w:rsidP="00790739">
            <w:pPr>
              <w:spacing w:before="0" w:after="0" w:line="240" w:lineRule="auto"/>
              <w:jc w:val="center"/>
              <w:rPr>
                <w:rFonts w:eastAsia="Times New Roman"/>
                <w:b/>
                <w:bCs/>
                <w:color w:val="000000"/>
                <w:sz w:val="18"/>
                <w:szCs w:val="18"/>
              </w:rPr>
            </w:pPr>
            <w:r w:rsidRPr="00790739">
              <w:rPr>
                <w:rFonts w:eastAsia="Times New Roman"/>
                <w:b/>
                <w:bCs/>
                <w:color w:val="000000"/>
                <w:sz w:val="18"/>
                <w:szCs w:val="18"/>
              </w:rPr>
              <w:t xml:space="preserve">MT = INTASC Mentor Teacher </w:t>
            </w:r>
          </w:p>
        </w:tc>
        <w:tc>
          <w:tcPr>
            <w:tcW w:w="2925" w:type="dxa"/>
            <w:gridSpan w:val="3"/>
            <w:tcBorders>
              <w:top w:val="nil"/>
              <w:left w:val="nil"/>
              <w:bottom w:val="single" w:sz="4" w:space="0" w:color="auto"/>
              <w:right w:val="nil"/>
            </w:tcBorders>
            <w:shd w:val="clear" w:color="auto" w:fill="auto"/>
            <w:noWrap/>
            <w:vAlign w:val="center"/>
            <w:hideMark/>
          </w:tcPr>
          <w:p w14:paraId="1DBAD1E8" w14:textId="77777777" w:rsidR="00790739" w:rsidRPr="00790739" w:rsidRDefault="00790739" w:rsidP="00790739">
            <w:pPr>
              <w:spacing w:before="0" w:after="0" w:line="240" w:lineRule="auto"/>
              <w:jc w:val="center"/>
              <w:rPr>
                <w:rFonts w:eastAsia="Times New Roman"/>
                <w:b/>
                <w:bCs/>
                <w:color w:val="000000"/>
                <w:sz w:val="18"/>
                <w:szCs w:val="18"/>
              </w:rPr>
            </w:pPr>
            <w:r w:rsidRPr="00790739">
              <w:rPr>
                <w:rFonts w:eastAsia="Times New Roman"/>
                <w:b/>
                <w:bCs/>
                <w:color w:val="000000"/>
                <w:sz w:val="18"/>
                <w:szCs w:val="18"/>
              </w:rPr>
              <w:t>RMT =  InTASC Mentor Teacher</w:t>
            </w:r>
          </w:p>
        </w:tc>
        <w:tc>
          <w:tcPr>
            <w:tcW w:w="3938" w:type="dxa"/>
            <w:gridSpan w:val="2"/>
            <w:tcBorders>
              <w:top w:val="nil"/>
              <w:left w:val="nil"/>
              <w:bottom w:val="single" w:sz="4" w:space="0" w:color="auto"/>
              <w:right w:val="nil"/>
            </w:tcBorders>
            <w:shd w:val="clear" w:color="auto" w:fill="auto"/>
            <w:noWrap/>
            <w:vAlign w:val="center"/>
            <w:hideMark/>
          </w:tcPr>
          <w:p w14:paraId="23137492" w14:textId="77777777" w:rsidR="00790739" w:rsidRPr="00790739" w:rsidRDefault="00790739" w:rsidP="001C281A">
            <w:pPr>
              <w:spacing w:before="0" w:after="0" w:line="240" w:lineRule="auto"/>
              <w:rPr>
                <w:rFonts w:eastAsia="Times New Roman"/>
                <w:b/>
                <w:bCs/>
                <w:color w:val="000000"/>
                <w:sz w:val="18"/>
                <w:szCs w:val="18"/>
              </w:rPr>
            </w:pPr>
            <w:r w:rsidRPr="00790739">
              <w:rPr>
                <w:rFonts w:eastAsia="Times New Roman"/>
                <w:b/>
                <w:bCs/>
                <w:color w:val="000000"/>
                <w:sz w:val="18"/>
                <w:szCs w:val="18"/>
              </w:rPr>
              <w:t xml:space="preserve">  CS = College Supervisor</w:t>
            </w:r>
          </w:p>
        </w:tc>
      </w:tr>
    </w:tbl>
    <w:p w14:paraId="0C392A21" w14:textId="77777777" w:rsidR="00B42892" w:rsidRDefault="00F57E35" w:rsidP="001764CC">
      <w:r>
        <w:t xml:space="preserve">Each </w:t>
      </w:r>
      <w:r w:rsidR="00484377">
        <w:t>mid-final terms</w:t>
      </w:r>
      <w:r>
        <w:t xml:space="preserve"> comparison regardless of evaluator shows an average increase of approximately 12%.  Individual comparisons remarkably do not have a single standard regardless of evaluator in which the initial percentage of frequency of Exemplar/Proficient is greater than or equal to the final frequency.  Even more notable is that regardless of how high or </w:t>
      </w:r>
      <w:r w:rsidR="004C554C">
        <w:t xml:space="preserve">how </w:t>
      </w:r>
      <w:r>
        <w:t>low the initial frequency was, the final frequency was always higher</w:t>
      </w:r>
      <w:r w:rsidR="00C535D9">
        <w:t xml:space="preserve">.  Of the 30 final scores, 100% of them are 97% or higher.  This strongly </w:t>
      </w:r>
      <w:r w:rsidR="00C535D9">
        <w:lastRenderedPageBreak/>
        <w:t xml:space="preserve">indicates that regardless of how well prepared a candidate was initially, their preparation </w:t>
      </w:r>
      <w:r w:rsidR="00265D71">
        <w:t xml:space="preserve">had </w:t>
      </w:r>
      <w:r w:rsidR="00B42892">
        <w:t>fostered in each of</w:t>
      </w:r>
      <w:r w:rsidR="00265D71">
        <w:t xml:space="preserve"> them the capacity </w:t>
      </w:r>
      <w:r w:rsidR="00545A08">
        <w:t>to reach a high level of preparation for the teaching profession.</w:t>
      </w:r>
    </w:p>
    <w:p w14:paraId="0811DE2D" w14:textId="77777777" w:rsidR="00773DB0" w:rsidRPr="00773DB0" w:rsidRDefault="004E486C" w:rsidP="00773DB0">
      <w:r>
        <w:t>T</w:t>
      </w:r>
      <w:r w:rsidR="00773DB0" w:rsidRPr="00773DB0">
        <w:t xml:space="preserve">he overall construct of the InTASC </w:t>
      </w:r>
      <w:r>
        <w:t>Standards is to define the</w:t>
      </w:r>
      <w:r w:rsidR="00773DB0">
        <w:t xml:space="preserve"> concept of a</w:t>
      </w:r>
      <w:r>
        <w:t xml:space="preserve"> successful</w:t>
      </w:r>
      <w:r w:rsidR="00773DB0">
        <w:t xml:space="preserve"> professional teacher.  </w:t>
      </w:r>
      <w:r w:rsidR="00773DB0" w:rsidRPr="00773DB0">
        <w:t xml:space="preserve">In order to make judgment regarding the degree to which a candidate has the proper </w:t>
      </w:r>
      <w:r w:rsidRPr="00773DB0">
        <w:t>preparation</w:t>
      </w:r>
      <w:r w:rsidR="00773DB0" w:rsidRPr="00773DB0">
        <w:t xml:space="preserve"> to be a </w:t>
      </w:r>
      <w:r w:rsidRPr="00773DB0">
        <w:t>successful teacher</w:t>
      </w:r>
      <w:r w:rsidR="00773DB0" w:rsidRPr="00773DB0">
        <w:t>, 10 standards have been identified that when present in a person as an</w:t>
      </w:r>
      <w:r w:rsidR="00B168C8">
        <w:t xml:space="preserve"> integral whole, such person is considered to be properly </w:t>
      </w:r>
      <w:r w:rsidR="00773DB0" w:rsidRPr="00773DB0">
        <w:t>prepared to be a professional educator.</w:t>
      </w:r>
    </w:p>
    <w:p w14:paraId="308521F1" w14:textId="77777777" w:rsidR="00773DB0" w:rsidRPr="00773DB0" w:rsidRDefault="00773DB0" w:rsidP="00773DB0">
      <w:r w:rsidRPr="00773DB0">
        <w:t xml:space="preserve">However, those 10 standards are not </w:t>
      </w:r>
      <w:r w:rsidR="004E486C" w:rsidRPr="00773DB0">
        <w:t>directly</w:t>
      </w:r>
      <w:r w:rsidRPr="00773DB0">
        <w:t xml:space="preserve"> evaluated but rather the quality of each standard </w:t>
      </w:r>
      <w:r w:rsidR="00B168C8">
        <w:t xml:space="preserve">is </w:t>
      </w:r>
      <w:r w:rsidRPr="00773DB0">
        <w:t xml:space="preserve">judged based upon a number of indicators that conceptually represent </w:t>
      </w:r>
      <w:r w:rsidR="004E486C">
        <w:t>each individual</w:t>
      </w:r>
      <w:r w:rsidRPr="00773DB0">
        <w:t xml:space="preserve"> standard.  There are </w:t>
      </w:r>
      <w:r w:rsidR="004E486C">
        <w:t>17</w:t>
      </w:r>
      <w:r w:rsidRPr="00773DB0">
        <w:t>3 of these indicators divided among the 10 standards</w:t>
      </w:r>
      <w:r w:rsidR="004E486C">
        <w:t xml:space="preserve"> according to three separate categories, that is, Performance, Essential Knowledge, and Critical </w:t>
      </w:r>
      <w:r w:rsidR="00036C46">
        <w:t>Dispositions</w:t>
      </w:r>
      <w:r w:rsidRPr="00773DB0">
        <w:t>.</w:t>
      </w:r>
    </w:p>
    <w:p w14:paraId="7E73D9DD" w14:textId="77777777" w:rsidR="00773DB0" w:rsidRPr="00773DB0" w:rsidRDefault="00773DB0" w:rsidP="00773DB0">
      <w:r w:rsidRPr="00773DB0">
        <w:t xml:space="preserve">So if one of the standards is judged to be unacceptable, then a candidate is not yet prepared to enter the teaching profession.  However, the judgment regarding meeting any one standard is based upon the average of the </w:t>
      </w:r>
      <w:r w:rsidR="004E486C" w:rsidRPr="00773DB0">
        <w:t>associated</w:t>
      </w:r>
      <w:r w:rsidRPr="00773DB0">
        <w:t xml:space="preserve"> indicators that form the given standard.  Like all averages, important</w:t>
      </w:r>
      <w:r w:rsidR="004E486C">
        <w:t xml:space="preserve"> specific </w:t>
      </w:r>
      <w:r w:rsidRPr="00773DB0">
        <w:t>data can be hidden</w:t>
      </w:r>
      <w:r w:rsidR="00B168C8">
        <w:t xml:space="preserve"> in those averages</w:t>
      </w:r>
      <w:r w:rsidR="004E486C">
        <w:t xml:space="preserve">.  There </w:t>
      </w:r>
      <w:r w:rsidR="00B168C8">
        <w:t>is often</w:t>
      </w:r>
      <w:r w:rsidR="004E486C">
        <w:t xml:space="preserve"> a tendency to assume all is well when an</w:t>
      </w:r>
      <w:r w:rsidRPr="00773DB0">
        <w:t xml:space="preserve"> average is quite high</w:t>
      </w:r>
      <w:r w:rsidR="004E486C">
        <w:t>, which</w:t>
      </w:r>
      <w:r w:rsidR="00B168C8">
        <w:t xml:space="preserve"> if fact</w:t>
      </w:r>
      <w:r w:rsidR="004E486C">
        <w:t xml:space="preserve"> may actually result in overlooking </w:t>
      </w:r>
      <w:r w:rsidRPr="00773DB0">
        <w:t>weakness</w:t>
      </w:r>
      <w:r w:rsidR="004E486C">
        <w:t>es</w:t>
      </w:r>
      <w:r w:rsidR="00B168C8">
        <w:t xml:space="preserve"> within that standard</w:t>
      </w:r>
      <w:r w:rsidR="004E486C">
        <w:t>.</w:t>
      </w:r>
    </w:p>
    <w:p w14:paraId="3D79DFC8" w14:textId="77777777" w:rsidR="00773DB0" w:rsidRPr="00773DB0" w:rsidRDefault="009841CF" w:rsidP="00773DB0">
      <w:r>
        <w:t>There is an especially</w:t>
      </w:r>
      <w:r w:rsidR="00773DB0" w:rsidRPr="00773DB0">
        <w:t xml:space="preserve"> high importance </w:t>
      </w:r>
      <w:r>
        <w:t xml:space="preserve">associated with </w:t>
      </w:r>
      <w:r w:rsidR="00773DB0" w:rsidRPr="00773DB0">
        <w:t>studying STE data owing to</w:t>
      </w:r>
      <w:r>
        <w:t xml:space="preserve"> the STE evaluation</w:t>
      </w:r>
      <w:r w:rsidR="00773DB0" w:rsidRPr="00773DB0">
        <w:t xml:space="preserve"> </w:t>
      </w:r>
      <w:r w:rsidR="004E486C">
        <w:t xml:space="preserve">having multiple evaluators, multiple evaluations, and its </w:t>
      </w:r>
      <w:r>
        <w:t>juxtaposition</w:t>
      </w:r>
      <w:r w:rsidR="004E486C">
        <w:t xml:space="preserve"> within </w:t>
      </w:r>
      <w:r w:rsidR="00F67133">
        <w:t>Stage III</w:t>
      </w:r>
      <w:r w:rsidR="004E486C">
        <w:t xml:space="preserve"> </w:t>
      </w:r>
      <w:r>
        <w:t>all of which give</w:t>
      </w:r>
      <w:r w:rsidR="004E486C">
        <w:t xml:space="preserve"> it the </w:t>
      </w:r>
      <w:r w:rsidR="00773DB0" w:rsidRPr="00773DB0">
        <w:t xml:space="preserve">capacity to serve as a summative </w:t>
      </w:r>
      <w:r w:rsidR="004E486C" w:rsidRPr="00773DB0">
        <w:t>assessment</w:t>
      </w:r>
      <w:r w:rsidR="00773DB0" w:rsidRPr="00773DB0">
        <w:t xml:space="preserve"> of</w:t>
      </w:r>
      <w:r>
        <w:t xml:space="preserve"> this</w:t>
      </w:r>
      <w:r w:rsidR="00773DB0" w:rsidRPr="00773DB0">
        <w:t xml:space="preserve"> four year </w:t>
      </w:r>
      <w:r w:rsidR="002025E6">
        <w:t>Preparation Program</w:t>
      </w:r>
      <w:r>
        <w:t>.  So</w:t>
      </w:r>
      <w:r w:rsidR="00773DB0" w:rsidRPr="00773DB0">
        <w:t xml:space="preserve"> a further analysis will be</w:t>
      </w:r>
      <w:r>
        <w:t xml:space="preserve"> developed</w:t>
      </w:r>
      <w:r w:rsidR="00773DB0" w:rsidRPr="00773DB0">
        <w:t xml:space="preserve"> to highlight those standards and their indicators that received a</w:t>
      </w:r>
      <w:r>
        <w:t xml:space="preserve">n excessive </w:t>
      </w:r>
      <w:r w:rsidR="004E486C" w:rsidRPr="00773DB0">
        <w:t>midterm</w:t>
      </w:r>
      <w:r w:rsidR="00773DB0" w:rsidRPr="00773DB0">
        <w:t xml:space="preserve"> score</w:t>
      </w:r>
      <w:r>
        <w:t xml:space="preserve">.  An excessive mid-term score is defined to be </w:t>
      </w:r>
      <w:r w:rsidR="00B168C8">
        <w:t xml:space="preserve">any one of the indicators having </w:t>
      </w:r>
      <w:r w:rsidR="00773DB0" w:rsidRPr="00773DB0">
        <w:t xml:space="preserve">more than 20% </w:t>
      </w:r>
      <w:r>
        <w:t xml:space="preserve">of the responses at the </w:t>
      </w:r>
      <w:r w:rsidR="00773DB0" w:rsidRPr="00773DB0">
        <w:t>Developing</w:t>
      </w:r>
      <w:r>
        <w:t xml:space="preserve"> level</w:t>
      </w:r>
      <w:r w:rsidR="00773DB0" w:rsidRPr="00773DB0">
        <w:t xml:space="preserve"> in the initial assessment of the InTASC standards</w:t>
      </w:r>
      <w:r>
        <w:t xml:space="preserve">, which occurs </w:t>
      </w:r>
      <w:r w:rsidR="00773DB0" w:rsidRPr="00773DB0">
        <w:t>very near the end of the</w:t>
      </w:r>
      <w:r>
        <w:t xml:space="preserve"> candidates</w:t>
      </w:r>
      <w:r w:rsidR="00036C46">
        <w:t>’</w:t>
      </w:r>
      <w:r>
        <w:t xml:space="preserve"> 4-year</w:t>
      </w:r>
      <w:r w:rsidR="00773DB0" w:rsidRPr="00773DB0">
        <w:t xml:space="preserve"> program</w:t>
      </w:r>
      <w:r>
        <w:t xml:space="preserve"> of preparation</w:t>
      </w:r>
      <w:r w:rsidR="00773DB0" w:rsidRPr="00773DB0">
        <w:t xml:space="preserve">.  </w:t>
      </w:r>
    </w:p>
    <w:p w14:paraId="078AD619" w14:textId="77777777" w:rsidR="00773DB0" w:rsidRPr="00773DB0" w:rsidRDefault="00773DB0" w:rsidP="00773DB0">
      <w:r w:rsidRPr="00773DB0">
        <w:t>To do this, a</w:t>
      </w:r>
      <w:r w:rsidR="00B168C8">
        <w:t>ll</w:t>
      </w:r>
      <w:r w:rsidRPr="00773DB0">
        <w:t xml:space="preserve"> </w:t>
      </w:r>
      <w:r w:rsidR="00B168C8">
        <w:t xml:space="preserve">indicators </w:t>
      </w:r>
      <w:r w:rsidRPr="00773DB0">
        <w:t xml:space="preserve">having more than 20% of the </w:t>
      </w:r>
      <w:r w:rsidR="00036C46" w:rsidRPr="00773DB0">
        <w:t>mid</w:t>
      </w:r>
      <w:r w:rsidR="00036C46">
        <w:t>-</w:t>
      </w:r>
      <w:r w:rsidR="00036C46" w:rsidRPr="00773DB0">
        <w:t>term</w:t>
      </w:r>
      <w:r w:rsidRPr="00773DB0">
        <w:t xml:space="preserve"> responses at the Developing level from the </w:t>
      </w:r>
      <w:r w:rsidR="00036C46">
        <w:t>MT</w:t>
      </w:r>
      <w:r w:rsidRPr="00773DB0">
        <w:t xml:space="preserve"> and/or the CS were </w:t>
      </w:r>
      <w:r w:rsidR="00036C46" w:rsidRPr="00773DB0">
        <w:t>selected</w:t>
      </w:r>
      <w:r w:rsidRPr="00773DB0">
        <w:t xml:space="preserve"> for this analysis.  From th</w:t>
      </w:r>
      <w:r w:rsidR="00B168C8">
        <w:t>e existing</w:t>
      </w:r>
      <w:r w:rsidRPr="00773DB0">
        <w:t xml:space="preserve"> </w:t>
      </w:r>
      <w:r w:rsidR="00036C46" w:rsidRPr="00773DB0">
        <w:t>population</w:t>
      </w:r>
      <w:r w:rsidRPr="00773DB0">
        <w:t xml:space="preserve"> of data, 11 such indicators were found in the college supervisors' responses and 14 in the mentor teachers' responses.  The CSs' highest </w:t>
      </w:r>
      <w:r w:rsidR="00D57C45">
        <w:t xml:space="preserve">(worst) </w:t>
      </w:r>
      <w:r w:rsidRPr="00773DB0">
        <w:t>Developing score was 48%</w:t>
      </w:r>
      <w:r w:rsidR="00036C46">
        <w:t xml:space="preserve">, that is, nearly half of candidates were at a “Developing” level at </w:t>
      </w:r>
      <w:r w:rsidR="00D57C45">
        <w:t>midterm</w:t>
      </w:r>
      <w:r w:rsidR="00036C46">
        <w:t xml:space="preserve"> during the candidates’</w:t>
      </w:r>
      <w:r w:rsidR="00B168C8">
        <w:t xml:space="preserve"> student teaching; t</w:t>
      </w:r>
      <w:r w:rsidRPr="00773DB0">
        <w:t>he MTs' highest</w:t>
      </w:r>
      <w:r w:rsidR="00B168C8">
        <w:t xml:space="preserve"> (worst)</w:t>
      </w:r>
      <w:r w:rsidRPr="00773DB0">
        <w:t xml:space="preserve"> score was 37% Developing</w:t>
      </w:r>
      <w:r w:rsidR="00B168C8">
        <w:t>.  A</w:t>
      </w:r>
      <w:r w:rsidRPr="00773DB0">
        <w:t>ll 25 scores had a mid</w:t>
      </w:r>
      <w:r w:rsidR="00B168C8">
        <w:t>-</w:t>
      </w:r>
      <w:r w:rsidRPr="00773DB0">
        <w:t xml:space="preserve">term percentage of more than 20% Developing responses.  </w:t>
      </w:r>
    </w:p>
    <w:p w14:paraId="744439C5" w14:textId="77777777" w:rsidR="00773DB0" w:rsidRDefault="00773DB0" w:rsidP="00773DB0">
      <w:r w:rsidRPr="00773DB0">
        <w:t>As can be seen</w:t>
      </w:r>
      <w:r w:rsidR="00B168C8">
        <w:t xml:space="preserve"> on the next page</w:t>
      </w:r>
      <w:r w:rsidRPr="00773DB0">
        <w:t xml:space="preserve"> in Table 17, </w:t>
      </w:r>
      <w:r w:rsidR="00981065">
        <w:t xml:space="preserve">InTASC </w:t>
      </w:r>
      <w:r w:rsidRPr="00773DB0">
        <w:t xml:space="preserve">Standards 4, 9, and 10 did not have a single Developing </w:t>
      </w:r>
      <w:r w:rsidR="00B168C8" w:rsidRPr="00773DB0">
        <w:t>mid-term</w:t>
      </w:r>
      <w:r w:rsidRPr="00773DB0">
        <w:t xml:space="preserve"> score over 20% among any of their </w:t>
      </w:r>
      <w:r w:rsidR="00B168C8" w:rsidRPr="00773DB0">
        <w:t>indicators</w:t>
      </w:r>
      <w:r w:rsidRPr="00773DB0">
        <w:t xml:space="preserve"> and Standards 1 and 5 each only had a single instance of an indicator over 20% Developing.  </w:t>
      </w:r>
      <w:proofErr w:type="gramStart"/>
      <w:r w:rsidRPr="00773DB0">
        <w:t>So</w:t>
      </w:r>
      <w:proofErr w:type="gramEnd"/>
      <w:r w:rsidRPr="00773DB0">
        <w:t xml:space="preserve"> half of the standards, 1, 4, 5, 9, and 10, only had 2 </w:t>
      </w:r>
      <w:r w:rsidR="00981065" w:rsidRPr="00773DB0">
        <w:t>instances</w:t>
      </w:r>
      <w:r w:rsidRPr="00773DB0">
        <w:t xml:space="preserve"> of an indicator having more than 20</w:t>
      </w:r>
      <w:r w:rsidR="00981065">
        <w:t>%</w:t>
      </w:r>
      <w:r w:rsidRPr="00773DB0">
        <w:t xml:space="preserve"> Developing!</w:t>
      </w:r>
      <w:r w:rsidR="00D14E1D">
        <w:t xml:space="preserve">  However, </w:t>
      </w:r>
      <w:r w:rsidR="00981065">
        <w:t xml:space="preserve">it can be seen </w:t>
      </w:r>
      <w:r w:rsidR="00D14E1D">
        <w:t xml:space="preserve">Table 17 that </w:t>
      </w:r>
      <w:r w:rsidR="00981065">
        <w:t>InTASC Standard</w:t>
      </w:r>
      <w:r w:rsidR="00D14E1D">
        <w:t>s</w:t>
      </w:r>
      <w:r w:rsidR="00981065">
        <w:t xml:space="preserve"> </w:t>
      </w:r>
      <w:r w:rsidR="00D14E1D">
        <w:t xml:space="preserve">2, 3, 6, 7, and 8 all had multiple instances of standard indicators having 20% or more at the Developing level.  </w:t>
      </w:r>
    </w:p>
    <w:p w14:paraId="78693FB6" w14:textId="77777777" w:rsidR="00D14E1D" w:rsidRPr="00773DB0" w:rsidRDefault="00D14E1D" w:rsidP="00773DB0">
      <w:r>
        <w:t xml:space="preserve">Table 17 shows the standards in green signify standards that have no indicators with excessive Developing responses; red indicates standards having indicators common to both the mentor teachers and the college supervisor.   </w:t>
      </w:r>
    </w:p>
    <w:p w14:paraId="78BE20C6" w14:textId="77777777" w:rsidR="00D14E1D" w:rsidRDefault="00D14E1D">
      <w:pPr>
        <w:spacing w:before="0" w:after="200"/>
        <w:rPr>
          <w:b/>
          <w:bCs/>
          <w:color w:val="4F81BD" w:themeColor="accent1"/>
          <w:sz w:val="18"/>
          <w:szCs w:val="18"/>
        </w:rPr>
      </w:pPr>
      <w:r>
        <w:br w:type="page"/>
      </w:r>
    </w:p>
    <w:p w14:paraId="30FC4F48" w14:textId="77777777" w:rsidR="00D14E1D" w:rsidRPr="00D14E1D" w:rsidRDefault="00D14E1D" w:rsidP="00981065">
      <w:pPr>
        <w:pStyle w:val="Caption"/>
        <w:rPr>
          <w:b w:val="0"/>
          <w:color w:val="000000" w:themeColor="text1"/>
          <w:sz w:val="24"/>
          <w:szCs w:val="24"/>
        </w:rPr>
      </w:pPr>
      <w:r>
        <w:rPr>
          <w:b w:val="0"/>
          <w:color w:val="000000" w:themeColor="text1"/>
          <w:sz w:val="24"/>
          <w:szCs w:val="24"/>
        </w:rPr>
        <w:lastRenderedPageBreak/>
        <w:t xml:space="preserve">Table 17 also shows the distribution of InTASC </w:t>
      </w:r>
      <w:r w:rsidR="00B43733">
        <w:rPr>
          <w:b w:val="0"/>
          <w:color w:val="000000" w:themeColor="text1"/>
          <w:sz w:val="24"/>
          <w:szCs w:val="24"/>
        </w:rPr>
        <w:t xml:space="preserve">Indicators according to Standard and distribution based upon Performance, Essential Knowledge, and Critical Dispositions.  </w:t>
      </w:r>
    </w:p>
    <w:p w14:paraId="5A7A40AA" w14:textId="77777777" w:rsidR="00981065" w:rsidRPr="0014349E" w:rsidRDefault="00981065" w:rsidP="00981065">
      <w:pPr>
        <w:pStyle w:val="Caption"/>
        <w:rPr>
          <w:b w:val="0"/>
          <w:color w:val="FFFFFF" w:themeColor="background1"/>
        </w:rPr>
      </w:pPr>
      <w:bookmarkStart w:id="42" w:name="_Toc492828039"/>
      <w:r w:rsidRPr="0014349E">
        <w:rPr>
          <w:color w:val="FFFFFF" w:themeColor="background1"/>
        </w:rPr>
        <w:t xml:space="preserve">Table </w:t>
      </w:r>
      <w:r w:rsidR="00D224F6" w:rsidRPr="0014349E">
        <w:rPr>
          <w:color w:val="FFFFFF" w:themeColor="background1"/>
        </w:rPr>
        <w:fldChar w:fldCharType="begin"/>
      </w:r>
      <w:r w:rsidR="00D224F6" w:rsidRPr="0014349E">
        <w:rPr>
          <w:color w:val="FFFFFF" w:themeColor="background1"/>
        </w:rPr>
        <w:instrText xml:space="preserve"> SEQ Table \* ARABIC </w:instrText>
      </w:r>
      <w:r w:rsidR="00D224F6" w:rsidRPr="0014349E">
        <w:rPr>
          <w:color w:val="FFFFFF" w:themeColor="background1"/>
        </w:rPr>
        <w:fldChar w:fldCharType="separate"/>
      </w:r>
      <w:r w:rsidR="0010294F" w:rsidRPr="0014349E">
        <w:rPr>
          <w:noProof/>
          <w:color w:val="FFFFFF" w:themeColor="background1"/>
        </w:rPr>
        <w:t>17</w:t>
      </w:r>
      <w:bookmarkEnd w:id="42"/>
      <w:r w:rsidR="00D224F6" w:rsidRPr="0014349E">
        <w:rPr>
          <w:noProof/>
          <w:color w:val="FFFFFF" w:themeColor="background1"/>
        </w:rPr>
        <w:fldChar w:fldCharType="end"/>
      </w:r>
    </w:p>
    <w:p w14:paraId="1F0FACDA" w14:textId="77777777" w:rsidR="004814C3" w:rsidRDefault="00B168C8">
      <w:pPr>
        <w:spacing w:before="0" w:after="200"/>
      </w:pPr>
      <w:r w:rsidRPr="004814C3">
        <w:rPr>
          <w:noProof/>
        </w:rPr>
        <w:drawing>
          <wp:inline distT="0" distB="0" distL="0" distR="0" wp14:anchorId="1C27C949" wp14:editId="3D61AD44">
            <wp:extent cx="6400800" cy="277400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774003"/>
                    </a:xfrm>
                    <a:prstGeom prst="rect">
                      <a:avLst/>
                    </a:prstGeom>
                    <a:noFill/>
                    <a:ln>
                      <a:noFill/>
                    </a:ln>
                  </pic:spPr>
                </pic:pic>
              </a:graphicData>
            </a:graphic>
          </wp:inline>
        </w:drawing>
      </w:r>
    </w:p>
    <w:p w14:paraId="3766DAAC" w14:textId="77777777" w:rsidR="004814C3" w:rsidRDefault="00B43733">
      <w:pPr>
        <w:spacing w:before="0" w:after="200"/>
      </w:pPr>
      <w:r>
        <w:t xml:space="preserve">As can be seen, Standard 6, Assessment, has eight hits, that is, between the two evaluators, Assessment Indicators at mid-term had eight indicators </w:t>
      </w:r>
      <w:r w:rsidR="00C8491E">
        <w:t>with responses</w:t>
      </w:r>
      <w:r>
        <w:t xml:space="preserve"> of more </w:t>
      </w:r>
      <w:r w:rsidR="00DD6B02">
        <w:t>than</w:t>
      </w:r>
      <w:r>
        <w:t xml:space="preserve"> 20% of the responses at the Developing level.  Four of those hits were Performance Indicators; two were Essential Knowledge; and two were Critical Dispositions.  </w:t>
      </w:r>
      <w:r w:rsidR="00C8491E">
        <w:t xml:space="preserve">To the right of those figures are the number of indicators in the full set of indicators have in InTASC Standards   </w:t>
      </w:r>
      <w:r>
        <w:t xml:space="preserve">Those standards in red present a greater focus given those three standards have multiple indicators with excessive Developing </w:t>
      </w:r>
      <w:r w:rsidR="00DD6B02">
        <w:t xml:space="preserve">from both evaluators.  </w:t>
      </w:r>
    </w:p>
    <w:p w14:paraId="7FDFCA27" w14:textId="77777777" w:rsidR="00DD6B02" w:rsidRDefault="00DD6B02">
      <w:pPr>
        <w:spacing w:before="0" w:after="200"/>
      </w:pPr>
      <w:r>
        <w:t xml:space="preserve">Another observation is Performance Indicators were disproportionately represented </w:t>
      </w:r>
      <w:r w:rsidR="00C8491E">
        <w:t xml:space="preserve">at 54% </w:t>
      </w:r>
      <w:r>
        <w:t>but it is instructive to see if Performance Indicators are disproportionately represented in the InTASC Standards themselves.  As can be seen</w:t>
      </w:r>
      <w:r w:rsidR="00C8491E">
        <w:t xml:space="preserve"> on the right side of Table 17</w:t>
      </w:r>
      <w:r>
        <w:t xml:space="preserve">, the distribution of indicator categories </w:t>
      </w:r>
      <w:r w:rsidR="00C8491E">
        <w:t xml:space="preserve">are also disproportionately in the standards but at </w:t>
      </w:r>
      <w:r>
        <w:t>43%, 32%, and 25%</w:t>
      </w:r>
      <w:r w:rsidR="00C8491E">
        <w:t xml:space="preserve"> respectively.</w:t>
      </w:r>
      <w:r>
        <w:t xml:space="preserve">  Consequently, that would be the expected distribution</w:t>
      </w:r>
      <w:r w:rsidR="00C8491E">
        <w:t xml:space="preserve"> of the three categories</w:t>
      </w:r>
      <w:r>
        <w:t xml:space="preserve"> in the STE; however, it can be seen the Performance Indicators at 54% in the actual evaluations is greater than would be expected from the design of the assessment, i.e., 43%. </w:t>
      </w:r>
      <w:r w:rsidR="00C8491E">
        <w:t xml:space="preserve"> </w:t>
      </w:r>
      <w:r>
        <w:t xml:space="preserve"> </w:t>
      </w:r>
    </w:p>
    <w:p w14:paraId="475B39EC" w14:textId="77777777" w:rsidR="004814C3" w:rsidRDefault="00DD6B02">
      <w:pPr>
        <w:spacing w:before="0" w:after="200"/>
      </w:pPr>
      <w:r>
        <w:t xml:space="preserve">Table 18 </w:t>
      </w:r>
      <w:r w:rsidR="00C8491E">
        <w:t xml:space="preserve">below </w:t>
      </w:r>
      <w:r>
        <w:t xml:space="preserve">breaks down the totals above by college supervisor and mentor teacher responses.  As noted, the college supervisor responses have 11 excessive Developing indicators while the mentor </w:t>
      </w:r>
      <w:r w:rsidR="00C8491E">
        <w:t>evaluations</w:t>
      </w:r>
      <w:r>
        <w:t xml:space="preserve"> had 14, so they were nearly equal in numbers and </w:t>
      </w:r>
      <w:r w:rsidR="00C8491E">
        <w:t xml:space="preserve">shared several of the same InTASC Indicators.  </w:t>
      </w:r>
    </w:p>
    <w:p w14:paraId="11C9E10A" w14:textId="77777777" w:rsidR="004814C3" w:rsidRDefault="004814C3" w:rsidP="004814C3">
      <w:pPr>
        <w:spacing w:before="0" w:after="200"/>
      </w:pPr>
    </w:p>
    <w:p w14:paraId="08CAE8FE" w14:textId="77777777" w:rsidR="008805FA" w:rsidRPr="0014349E" w:rsidRDefault="008805FA" w:rsidP="008805FA">
      <w:pPr>
        <w:pStyle w:val="Caption"/>
        <w:keepNext/>
        <w:rPr>
          <w:color w:val="FFFFFF" w:themeColor="background1"/>
        </w:rPr>
      </w:pPr>
      <w:bookmarkStart w:id="43" w:name="_Toc492828040"/>
      <w:r w:rsidRPr="0014349E">
        <w:rPr>
          <w:color w:val="FFFFFF" w:themeColor="background1"/>
        </w:rPr>
        <w:lastRenderedPageBreak/>
        <w:t xml:space="preserve">Table </w:t>
      </w:r>
      <w:r w:rsidR="00D224F6" w:rsidRPr="0014349E">
        <w:rPr>
          <w:color w:val="FFFFFF" w:themeColor="background1"/>
        </w:rPr>
        <w:fldChar w:fldCharType="begin"/>
      </w:r>
      <w:r w:rsidR="00D224F6" w:rsidRPr="0014349E">
        <w:rPr>
          <w:color w:val="FFFFFF" w:themeColor="background1"/>
        </w:rPr>
        <w:instrText xml:space="preserve"> SEQ Table \* ARABIC </w:instrText>
      </w:r>
      <w:r w:rsidR="00D224F6" w:rsidRPr="0014349E">
        <w:rPr>
          <w:color w:val="FFFFFF" w:themeColor="background1"/>
        </w:rPr>
        <w:fldChar w:fldCharType="separate"/>
      </w:r>
      <w:r w:rsidR="0010294F" w:rsidRPr="0014349E">
        <w:rPr>
          <w:noProof/>
          <w:color w:val="FFFFFF" w:themeColor="background1"/>
        </w:rPr>
        <w:t>18</w:t>
      </w:r>
      <w:bookmarkEnd w:id="43"/>
      <w:r w:rsidR="00D224F6" w:rsidRPr="0014349E">
        <w:rPr>
          <w:noProof/>
          <w:color w:val="FFFFFF" w:themeColor="background1"/>
        </w:rPr>
        <w:fldChar w:fldCharType="end"/>
      </w:r>
    </w:p>
    <w:p w14:paraId="6B592021" w14:textId="77777777" w:rsidR="008805FA" w:rsidRDefault="008805FA" w:rsidP="004814C3">
      <w:pPr>
        <w:pStyle w:val="Caption"/>
        <w:keepNext/>
        <w:rPr>
          <w:b w:val="0"/>
          <w:color w:val="000000" w:themeColor="text1"/>
          <w:sz w:val="24"/>
          <w:szCs w:val="24"/>
        </w:rPr>
      </w:pPr>
      <w:r w:rsidRPr="004814C3">
        <w:rPr>
          <w:noProof/>
        </w:rPr>
        <w:drawing>
          <wp:inline distT="0" distB="0" distL="0" distR="0" wp14:anchorId="6740E8EF" wp14:editId="403513DB">
            <wp:extent cx="6400800" cy="2844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844165"/>
                    </a:xfrm>
                    <a:prstGeom prst="rect">
                      <a:avLst/>
                    </a:prstGeom>
                    <a:noFill/>
                    <a:ln>
                      <a:noFill/>
                    </a:ln>
                  </pic:spPr>
                </pic:pic>
              </a:graphicData>
            </a:graphic>
          </wp:inline>
        </w:drawing>
      </w:r>
    </w:p>
    <w:p w14:paraId="5532733F" w14:textId="77777777" w:rsidR="008805FA" w:rsidRDefault="008805FA" w:rsidP="004814C3">
      <w:pPr>
        <w:pStyle w:val="Caption"/>
        <w:keepNext/>
        <w:rPr>
          <w:b w:val="0"/>
          <w:color w:val="000000" w:themeColor="text1"/>
          <w:sz w:val="24"/>
          <w:szCs w:val="24"/>
        </w:rPr>
      </w:pPr>
      <w:r>
        <w:rPr>
          <w:b w:val="0"/>
          <w:color w:val="000000" w:themeColor="text1"/>
          <w:sz w:val="24"/>
          <w:szCs w:val="24"/>
        </w:rPr>
        <w:t xml:space="preserve">The concern regarding the Performance and Essential Knowledge categories are relatively equally shared by all evaluators with the mentor teacher having a little more concern over the development of the candidates with regard to Critical Dispositions.  This along with the previous data regarding </w:t>
      </w:r>
      <w:r w:rsidR="003E20AC">
        <w:rPr>
          <w:b w:val="0"/>
          <w:color w:val="000000" w:themeColor="text1"/>
          <w:sz w:val="24"/>
          <w:szCs w:val="24"/>
        </w:rPr>
        <w:t>all evaluators share concerns with</w:t>
      </w:r>
      <w:r>
        <w:rPr>
          <w:b w:val="0"/>
          <w:color w:val="000000" w:themeColor="text1"/>
          <w:sz w:val="24"/>
          <w:szCs w:val="24"/>
        </w:rPr>
        <w:t xml:space="preserve"> three of the </w:t>
      </w:r>
      <w:r w:rsidR="003E20AC">
        <w:rPr>
          <w:b w:val="0"/>
          <w:color w:val="000000" w:themeColor="text1"/>
          <w:sz w:val="24"/>
          <w:szCs w:val="24"/>
        </w:rPr>
        <w:t xml:space="preserve">same </w:t>
      </w:r>
      <w:r>
        <w:rPr>
          <w:b w:val="0"/>
          <w:color w:val="000000" w:themeColor="text1"/>
          <w:sz w:val="24"/>
          <w:szCs w:val="24"/>
        </w:rPr>
        <w:t>standards shows a balance of congruity among evaluators the objectivity of which strongly suggests a functional level of face and content validit</w:t>
      </w:r>
      <w:r w:rsidR="003E20AC">
        <w:rPr>
          <w:b w:val="0"/>
          <w:color w:val="000000" w:themeColor="text1"/>
          <w:sz w:val="24"/>
          <w:szCs w:val="24"/>
        </w:rPr>
        <w:t>ies</w:t>
      </w:r>
      <w:r>
        <w:rPr>
          <w:b w:val="0"/>
          <w:color w:val="000000" w:themeColor="text1"/>
          <w:sz w:val="24"/>
          <w:szCs w:val="24"/>
        </w:rPr>
        <w:t xml:space="preserve"> in the assessments.</w:t>
      </w:r>
    </w:p>
    <w:p w14:paraId="0B7C090A" w14:textId="77777777" w:rsidR="008805FA" w:rsidRPr="008805FA" w:rsidRDefault="003E20AC" w:rsidP="008805FA">
      <w:r>
        <w:t xml:space="preserve">The next and final analysis of these data is found in Table 19 below.  This table has a great deal of specific information in it that would provide some direction regarding data informed decision making.  The table lists all of the specific indictors that were identified with excessing frequency of Developing responses.   </w:t>
      </w:r>
    </w:p>
    <w:p w14:paraId="30736D3F" w14:textId="77777777" w:rsidR="003E20AC" w:rsidRPr="001667D5" w:rsidRDefault="003E20AC" w:rsidP="001667D5">
      <w:r w:rsidRPr="001667D5">
        <w:t>The analysis shows there are 19 separate indicators having more than 20% of the responses in the Developing qualifier.  Some of these indicators were used more than one time making for a total of 24 hits having a high level of Developing responses.  Of the 19 different indicators, 9 were from Performance, 6 from Essential Knowledge, and 4 from Critical Disposition categories.</w:t>
      </w:r>
    </w:p>
    <w:p w14:paraId="5732CE98" w14:textId="77777777" w:rsidR="008805FA" w:rsidRDefault="003E20AC" w:rsidP="001667D5">
      <w:pPr>
        <w:rPr>
          <w:b/>
          <w:color w:val="000000" w:themeColor="text1"/>
          <w:szCs w:val="24"/>
        </w:rPr>
      </w:pPr>
      <w:r w:rsidRPr="001667D5">
        <w:t xml:space="preserve">The contents of each of these indicators are provided in the Table, </w:t>
      </w:r>
      <w:r w:rsidR="001667D5" w:rsidRPr="001667D5">
        <w:t xml:space="preserve">as are </w:t>
      </w:r>
      <w:r w:rsidRPr="001667D5">
        <w:t>the InTASC indicator category</w:t>
      </w:r>
      <w:r w:rsidR="001667D5" w:rsidRPr="001667D5">
        <w:t xml:space="preserve"> appropriate to each one, the number of “hits” each indicator had</w:t>
      </w:r>
      <w:r w:rsidRPr="001667D5">
        <w:t xml:space="preserve">, and </w:t>
      </w:r>
      <w:r w:rsidR="001667D5" w:rsidRPr="001667D5">
        <w:t xml:space="preserve">again red is used to show which indicators (rather than standards) having excessive frequency of Developing responses.  This provides specific information within the standards regarding how to strengthen the standards and hence the </w:t>
      </w:r>
      <w:r w:rsidR="002025E6">
        <w:t xml:space="preserve">Teacher </w:t>
      </w:r>
      <w:r w:rsidR="006837F2">
        <w:t xml:space="preserve">Preparation </w:t>
      </w:r>
      <w:r w:rsidR="002025E6">
        <w:t>Program</w:t>
      </w:r>
      <w:r w:rsidR="001667D5" w:rsidRPr="001667D5">
        <w:t xml:space="preserve"> by addressing the precise elements that are less developed within a standard within any standard.  In this case, we have five standards that have lots of room for more responses in the Exemplary/Proficient qualifiers three of which are a common concern to mentor teacher and college supervisor.  As can be seen in the next table, </w:t>
      </w:r>
      <w:r w:rsidR="001667D5">
        <w:t xml:space="preserve">InTASC Indicators </w:t>
      </w:r>
      <w:r w:rsidR="001667D5" w:rsidRPr="00773DB0">
        <w:t xml:space="preserve">2(a), 3(d), 6(c), 6(g), and 6(l), were found on both the MT and the CS responses.  </w:t>
      </w:r>
      <w:r w:rsidR="001667D5" w:rsidRPr="00981065">
        <w:rPr>
          <w:szCs w:val="24"/>
        </w:rPr>
        <w:t>The remaining indicators all appeared one time.</w:t>
      </w:r>
    </w:p>
    <w:p w14:paraId="532C8CB6" w14:textId="77777777" w:rsidR="004814C3" w:rsidRDefault="004814C3">
      <w:pPr>
        <w:spacing w:before="0" w:after="200"/>
        <w:rPr>
          <w:color w:val="000000" w:themeColor="text1"/>
          <w:szCs w:val="24"/>
        </w:rPr>
      </w:pPr>
    </w:p>
    <w:p w14:paraId="6F1F06BE" w14:textId="77777777" w:rsidR="00321D70" w:rsidRPr="00597CA4" w:rsidRDefault="00321D70" w:rsidP="00321D70">
      <w:pPr>
        <w:pStyle w:val="Caption"/>
        <w:rPr>
          <w:b w:val="0"/>
          <w:color w:val="FFFFFF" w:themeColor="background1"/>
          <w:sz w:val="24"/>
          <w:szCs w:val="24"/>
        </w:rPr>
      </w:pPr>
      <w:bookmarkStart w:id="44" w:name="_Toc492828041"/>
      <w:r w:rsidRPr="00597CA4">
        <w:rPr>
          <w:color w:val="FFFFFF" w:themeColor="background1"/>
        </w:rPr>
        <w:lastRenderedPageBreak/>
        <w:t xml:space="preserve">Table </w:t>
      </w:r>
      <w:r w:rsidR="00D224F6" w:rsidRPr="00597CA4">
        <w:rPr>
          <w:color w:val="FFFFFF" w:themeColor="background1"/>
        </w:rPr>
        <w:fldChar w:fldCharType="begin"/>
      </w:r>
      <w:r w:rsidR="00D224F6" w:rsidRPr="00597CA4">
        <w:rPr>
          <w:color w:val="FFFFFF" w:themeColor="background1"/>
        </w:rPr>
        <w:instrText xml:space="preserve"> SEQ Table \* ARABIC </w:instrText>
      </w:r>
      <w:r w:rsidR="00D224F6" w:rsidRPr="00597CA4">
        <w:rPr>
          <w:color w:val="FFFFFF" w:themeColor="background1"/>
        </w:rPr>
        <w:fldChar w:fldCharType="separate"/>
      </w:r>
      <w:r w:rsidR="0010294F" w:rsidRPr="00597CA4">
        <w:rPr>
          <w:noProof/>
          <w:color w:val="FFFFFF" w:themeColor="background1"/>
        </w:rPr>
        <w:t>19</w:t>
      </w:r>
      <w:bookmarkEnd w:id="44"/>
      <w:r w:rsidR="00D224F6" w:rsidRPr="00597CA4">
        <w:rPr>
          <w:noProof/>
          <w:color w:val="FFFFFF" w:themeColor="background1"/>
        </w:rPr>
        <w:fldChar w:fldCharType="end"/>
      </w:r>
    </w:p>
    <w:p w14:paraId="1452A50E" w14:textId="77777777" w:rsidR="0030460B" w:rsidRPr="0030460B" w:rsidRDefault="00597CA4" w:rsidP="0030460B">
      <w:pPr>
        <w:spacing w:before="0" w:after="200"/>
      </w:pPr>
      <w:r w:rsidRPr="00597CA4">
        <w:rPr>
          <w:noProof/>
        </w:rPr>
        <w:drawing>
          <wp:inline distT="0" distB="0" distL="0" distR="0" wp14:anchorId="4F479C23" wp14:editId="093DD3EB">
            <wp:extent cx="6400800" cy="7476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7476150"/>
                    </a:xfrm>
                    <a:prstGeom prst="rect">
                      <a:avLst/>
                    </a:prstGeom>
                    <a:noFill/>
                    <a:ln>
                      <a:noFill/>
                    </a:ln>
                  </pic:spPr>
                </pic:pic>
              </a:graphicData>
            </a:graphic>
          </wp:inline>
        </w:drawing>
      </w:r>
    </w:p>
    <w:p w14:paraId="4192D1A5" w14:textId="77777777" w:rsidR="00321D70" w:rsidRDefault="009B1FD5">
      <w:pPr>
        <w:spacing w:before="0" w:after="200"/>
      </w:pPr>
      <w:r>
        <w:lastRenderedPageBreak/>
        <w:t>A good method</w:t>
      </w:r>
      <w:r w:rsidR="001667D5">
        <w:t xml:space="preserve"> to utilize the information in Table 19 is to study each of these indicators </w:t>
      </w:r>
      <w:r>
        <w:t>and see if there is a commonality among a few or more of them.   If a common theme can be found for a portion of these indicators, the issue could be best addressed across the appropriate part of the curricula.</w:t>
      </w:r>
    </w:p>
    <w:p w14:paraId="38816C53" w14:textId="77777777" w:rsidR="003E20AC" w:rsidRDefault="003E20AC" w:rsidP="003E20AC">
      <w:r w:rsidRPr="00773DB0">
        <w:t xml:space="preserve">When these 19 indicators </w:t>
      </w:r>
      <w:r w:rsidR="009B1FD5">
        <w:t xml:space="preserve">having excess developers at the mid-term </w:t>
      </w:r>
      <w:r w:rsidRPr="00773DB0">
        <w:t xml:space="preserve">were conceptually examined, </w:t>
      </w:r>
      <w:r w:rsidR="00321D70">
        <w:t xml:space="preserve">it appeared an argument could be made that </w:t>
      </w:r>
      <w:r w:rsidRPr="00773DB0">
        <w:t>14 (74%)</w:t>
      </w:r>
      <w:r w:rsidR="009B1FD5">
        <w:t xml:space="preserve"> of them</w:t>
      </w:r>
      <w:r w:rsidRPr="00773DB0">
        <w:t xml:space="preserve">  dealt in one way or another with learning differences and two more dealt with assessment.  Given assessment is quite closely related to working with learning differences, 84% of the high levels of Developing responses dealt with the area of differentiated learning abilities.</w:t>
      </w:r>
    </w:p>
    <w:p w14:paraId="58258DA2" w14:textId="77777777" w:rsidR="009B1FD5" w:rsidRDefault="009B1FD5" w:rsidP="003E20AC">
      <w:r>
        <w:t xml:space="preserve">Clearly this is a difficult area to prepare for without actual classroom experience, but it is certainly a very important quality that all teachers should nurture throughout their careers.  Learning to recognize and address learning differences is a huge responsibility that falls first and foremost upon each classroom teacher.   For many students, this will be the only chance they have in their young lives to realize they too have an equally profound dignity as the other students because they too can demonstrate the ability to learn and earn </w:t>
      </w:r>
      <w:r w:rsidR="00321D70">
        <w:t>an education if enough effort is made to identify the little window these students have that allow them to learn alongside of all students, even if it is a bit differentiated.  The bottom line here is every teacher at every possible stage of their long and successful careers should still be “Developing” in this regard!</w:t>
      </w:r>
    </w:p>
    <w:p w14:paraId="33B765C1" w14:textId="77777777" w:rsidR="00321D70" w:rsidRDefault="00321D70" w:rsidP="00EF1A55">
      <w:pPr>
        <w:pStyle w:val="Heading1"/>
      </w:pPr>
      <w:bookmarkStart w:id="45" w:name="_Toc493221898"/>
      <w:r w:rsidRPr="00321D70">
        <w:t>Surveys</w:t>
      </w:r>
      <w:bookmarkEnd w:id="45"/>
    </w:p>
    <w:p w14:paraId="1DC77827" w14:textId="77777777" w:rsidR="008B2642" w:rsidRPr="002910B0" w:rsidRDefault="008B2642" w:rsidP="008B2642">
      <w:pPr>
        <w:ind w:firstLine="432"/>
      </w:pPr>
      <w:bookmarkStart w:id="46" w:name="_Toc493221899"/>
      <w:r w:rsidRPr="002910B0">
        <w:rPr>
          <w:rStyle w:val="Heading2Char"/>
        </w:rPr>
        <w:t>SKC teacher education program exit survey</w:t>
      </w:r>
      <w:bookmarkEnd w:id="46"/>
      <w:r w:rsidRPr="002910B0">
        <w:t>.</w:t>
      </w:r>
    </w:p>
    <w:p w14:paraId="08593E3F" w14:textId="77777777" w:rsidR="008B2642" w:rsidRDefault="008B2642" w:rsidP="008B2642">
      <w:r>
        <w:t>The questions and responses from this exit survey follow.</w:t>
      </w:r>
    </w:p>
    <w:p w14:paraId="62B5B4B3" w14:textId="77777777" w:rsidR="008B2642" w:rsidRPr="00197C12" w:rsidRDefault="008B2642" w:rsidP="008B2642">
      <w:r w:rsidRPr="00197C12">
        <w:t xml:space="preserve">Please reflect on which aspects of the SKC TEP were most beneficial to you </w:t>
      </w:r>
      <w:r w:rsidRPr="00197C12">
        <w:rPr>
          <w:u w:val="single"/>
        </w:rPr>
        <w:t>prior</w:t>
      </w:r>
      <w:r w:rsidRPr="00197C12">
        <w:t xml:space="preserve"> to student teaching…</w:t>
      </w:r>
    </w:p>
    <w:p w14:paraId="6FE2319C" w14:textId="77777777" w:rsidR="008B2642" w:rsidRDefault="008B2642" w:rsidP="008B2642">
      <w:pPr>
        <w:pStyle w:val="ListParagraph"/>
        <w:numPr>
          <w:ilvl w:val="0"/>
          <w:numId w:val="5"/>
        </w:numPr>
        <w:spacing w:before="0" w:after="0" w:line="240" w:lineRule="auto"/>
      </w:pPr>
      <w:r>
        <w:t xml:space="preserve">The ability to be a part of classrooms all over the valley was the most beneficial part of my TEP. It allowed me to put to work what I was learning in class. I really enjoyed when my teachers made connections consistently from real world situations to theoretical concepts of education. It was helpful when my instructors made the content learned relevant to me. </w:t>
      </w:r>
    </w:p>
    <w:p w14:paraId="53960DCE" w14:textId="77777777" w:rsidR="008B2642" w:rsidRDefault="008B2642" w:rsidP="008B2642">
      <w:pPr>
        <w:pStyle w:val="ListParagraph"/>
        <w:numPr>
          <w:ilvl w:val="0"/>
          <w:numId w:val="5"/>
        </w:numPr>
        <w:spacing w:before="0" w:after="0" w:line="240" w:lineRule="auto"/>
      </w:pPr>
      <w:r>
        <w:t>To me, the whole TEP process was beneficial. I really liked focusing on classroom management, curriculum planning, math courses, and meeting the needs of families/special needs.</w:t>
      </w:r>
    </w:p>
    <w:p w14:paraId="3E9C7379" w14:textId="77777777" w:rsidR="008B2642" w:rsidRDefault="008B2642" w:rsidP="008B2642">
      <w:pPr>
        <w:pStyle w:val="ListParagraph"/>
        <w:numPr>
          <w:ilvl w:val="0"/>
          <w:numId w:val="5"/>
        </w:numPr>
        <w:spacing w:before="0" w:after="0" w:line="240" w:lineRule="auto"/>
      </w:pPr>
      <w:r>
        <w:t>The most helpful parts of this program were the faculty. Without their encouragement, professionalism, and support, earning my degree would not have been possible.</w:t>
      </w:r>
    </w:p>
    <w:p w14:paraId="1306C86B" w14:textId="77777777" w:rsidR="008B2642" w:rsidRDefault="008B2642" w:rsidP="008B2642">
      <w:pPr>
        <w:pStyle w:val="ListParagraph"/>
        <w:numPr>
          <w:ilvl w:val="0"/>
          <w:numId w:val="5"/>
        </w:numPr>
        <w:spacing w:before="0" w:after="0" w:line="240" w:lineRule="auto"/>
      </w:pPr>
      <w:r>
        <w:t xml:space="preserve">Being able to interact so closely with my professors all the time was extremely beneficial to me, also the class sizes. </w:t>
      </w:r>
    </w:p>
    <w:p w14:paraId="06437416" w14:textId="77777777" w:rsidR="008B2642" w:rsidRDefault="008B2642" w:rsidP="008B2642">
      <w:pPr>
        <w:pStyle w:val="ListParagraph"/>
        <w:numPr>
          <w:ilvl w:val="0"/>
          <w:numId w:val="5"/>
        </w:numPr>
        <w:spacing w:before="0" w:after="0" w:line="240" w:lineRule="auto"/>
      </w:pPr>
      <w:r>
        <w:t>My mentors were great and worked hard to see me finish the program. Very helpful and generous in all of my school activities.</w:t>
      </w:r>
    </w:p>
    <w:p w14:paraId="64C920D8" w14:textId="77777777" w:rsidR="008B2642" w:rsidRDefault="008B2642" w:rsidP="008B2642">
      <w:pPr>
        <w:pStyle w:val="ListParagraph"/>
        <w:numPr>
          <w:ilvl w:val="0"/>
          <w:numId w:val="5"/>
        </w:numPr>
        <w:spacing w:before="0" w:after="0" w:line="240" w:lineRule="auto"/>
      </w:pPr>
      <w:r>
        <w:t>The mentoring and bonding within cohort and with teachers in the TEP. The required observations in course were very educational.</w:t>
      </w:r>
    </w:p>
    <w:p w14:paraId="12FDE8CC" w14:textId="77777777" w:rsidR="008B2642" w:rsidRPr="009C2828" w:rsidRDefault="008B2642" w:rsidP="008B2642">
      <w:r w:rsidRPr="009C2828">
        <w:t xml:space="preserve">2.   Please comment on which aspects of the SKC TEP were least helpful to your evolution as a teaching </w:t>
      </w:r>
    </w:p>
    <w:p w14:paraId="31D883EC" w14:textId="77777777" w:rsidR="008B2642" w:rsidRPr="009C2828" w:rsidRDefault="008B2642" w:rsidP="008B2642">
      <w:r w:rsidRPr="009C2828">
        <w:t xml:space="preserve">      </w:t>
      </w:r>
      <w:proofErr w:type="spellStart"/>
      <w:r w:rsidRPr="009C2828">
        <w:t>professionl</w:t>
      </w:r>
      <w:proofErr w:type="spellEnd"/>
      <w:r w:rsidRPr="009C2828">
        <w:t>.</w:t>
      </w:r>
    </w:p>
    <w:p w14:paraId="5A49B5D9" w14:textId="77777777" w:rsidR="008B2642" w:rsidRDefault="008B2642" w:rsidP="008B2642">
      <w:pPr>
        <w:pStyle w:val="ListParagraph"/>
        <w:numPr>
          <w:ilvl w:val="0"/>
          <w:numId w:val="6"/>
        </w:numPr>
        <w:spacing w:before="0" w:after="0" w:line="240" w:lineRule="auto"/>
      </w:pPr>
      <w:r w:rsidRPr="009C2828">
        <w:lastRenderedPageBreak/>
        <w:t>There were times when we were short staffed and there were inconsistencies in the way our classes were set up and I feel like I could have had more support and learned more in those courses. My cohort and I feel like we didn’t learn as much about literature as we could have.</w:t>
      </w:r>
    </w:p>
    <w:p w14:paraId="58D219C0" w14:textId="77777777" w:rsidR="008B2642" w:rsidRDefault="008B2642" w:rsidP="008B2642">
      <w:pPr>
        <w:pStyle w:val="ListParagraph"/>
        <w:numPr>
          <w:ilvl w:val="0"/>
          <w:numId w:val="6"/>
        </w:numPr>
        <w:spacing w:before="0" w:after="0" w:line="240" w:lineRule="auto"/>
      </w:pPr>
      <w:r>
        <w:t>One thing I wish I could have focused more on was how to use formative assessment with kindergarten/1</w:t>
      </w:r>
      <w:r w:rsidRPr="00DE5151">
        <w:rPr>
          <w:vertAlign w:val="superscript"/>
        </w:rPr>
        <w:t>st</w:t>
      </w:r>
      <w:r>
        <w:t xml:space="preserve"> grade.</w:t>
      </w:r>
    </w:p>
    <w:p w14:paraId="0F32C560" w14:textId="77777777" w:rsidR="008B2642" w:rsidRDefault="008B2642" w:rsidP="008B2642">
      <w:pPr>
        <w:pStyle w:val="ListParagraph"/>
        <w:numPr>
          <w:ilvl w:val="0"/>
          <w:numId w:val="6"/>
        </w:numPr>
        <w:spacing w:before="0" w:after="0" w:line="240" w:lineRule="auto"/>
      </w:pPr>
      <w:r>
        <w:t>The least helpful...I have given you plenty of feedback during my time as a student, and I have nothing left to say...except THANK YOU!</w:t>
      </w:r>
    </w:p>
    <w:p w14:paraId="29CAB98F" w14:textId="77777777" w:rsidR="008B2642" w:rsidRDefault="008B2642" w:rsidP="008B2642">
      <w:pPr>
        <w:pStyle w:val="ListParagraph"/>
        <w:numPr>
          <w:ilvl w:val="0"/>
          <w:numId w:val="6"/>
        </w:numPr>
        <w:spacing w:before="0" w:after="0" w:line="240" w:lineRule="auto"/>
      </w:pPr>
      <w:r>
        <w:t xml:space="preserve">I struggled with classroom management for the first couple of weeks of my student teaching experience – it would have been beneficial to work with active students more on behavior expectations before student teaching. </w:t>
      </w:r>
    </w:p>
    <w:p w14:paraId="613D79F0" w14:textId="77777777" w:rsidR="008B2642" w:rsidRDefault="008B2642" w:rsidP="008B2642">
      <w:pPr>
        <w:pStyle w:val="ListParagraph"/>
        <w:numPr>
          <w:ilvl w:val="0"/>
          <w:numId w:val="6"/>
        </w:numPr>
        <w:spacing w:before="0" w:after="0" w:line="240" w:lineRule="auto"/>
      </w:pPr>
      <w:r>
        <w:t>Being Science and Ed. Seems to give us the short end of the stick in two ways. 1</w:t>
      </w:r>
      <w:r w:rsidRPr="00DE5151">
        <w:rPr>
          <w:vertAlign w:val="superscript"/>
        </w:rPr>
        <w:t>st</w:t>
      </w:r>
      <w:r>
        <w:t>, the class times tend to be arranged for the Elementary Ed and pure science degree students, so making them work for us is many times a struggle. 2</w:t>
      </w:r>
      <w:r w:rsidRPr="00DE5151">
        <w:rPr>
          <w:vertAlign w:val="superscript"/>
        </w:rPr>
        <w:t>nd</w:t>
      </w:r>
      <w:r>
        <w:t xml:space="preserve">, the </w:t>
      </w:r>
      <w:proofErr w:type="spellStart"/>
      <w:r>
        <w:t>ed</w:t>
      </w:r>
      <w:proofErr w:type="spellEnd"/>
      <w:r>
        <w:t xml:space="preserve"> classes other than those taught specifically for SECED are typically designed for Elem. Ed and BIO or </w:t>
      </w:r>
      <w:proofErr w:type="spellStart"/>
      <w:r>
        <w:t>Chem</w:t>
      </w:r>
      <w:proofErr w:type="spellEnd"/>
      <w:r>
        <w:t xml:space="preserve"> students.</w:t>
      </w:r>
    </w:p>
    <w:p w14:paraId="0E7BE7F9" w14:textId="77777777" w:rsidR="008B2642" w:rsidRPr="009C2828" w:rsidRDefault="008B2642" w:rsidP="008B2642">
      <w:pPr>
        <w:pStyle w:val="ListParagraph"/>
        <w:numPr>
          <w:ilvl w:val="0"/>
          <w:numId w:val="6"/>
        </w:numPr>
        <w:spacing w:before="0" w:after="0" w:line="240" w:lineRule="auto"/>
      </w:pPr>
      <w:r>
        <w:t>The portfolio process was least helpful.</w:t>
      </w:r>
    </w:p>
    <w:p w14:paraId="427EF1A1" w14:textId="77777777" w:rsidR="008B2642" w:rsidRPr="009C2828" w:rsidRDefault="008B2642" w:rsidP="008B2642">
      <w:r w:rsidRPr="009C2828">
        <w:t>3.    During your student teaching experience, which events, activities, or other aspects did you find to be most helpful in preparing you for professional teaching?</w:t>
      </w:r>
    </w:p>
    <w:p w14:paraId="1B0893D8" w14:textId="77777777" w:rsidR="008B2642" w:rsidRDefault="008B2642" w:rsidP="008B2642">
      <w:pPr>
        <w:pStyle w:val="ListParagraph"/>
        <w:numPr>
          <w:ilvl w:val="0"/>
          <w:numId w:val="7"/>
        </w:numPr>
        <w:spacing w:before="0" w:after="0" w:line="240" w:lineRule="auto"/>
      </w:pPr>
      <w:r w:rsidRPr="009C2828">
        <w:t>Observation and exploratory hours in each of my courses helped me solidify what was being taught in class. The trip to Creston was a great experience; I wish we had others like it. The school for the Deaf and Blind was exceptional!</w:t>
      </w:r>
    </w:p>
    <w:p w14:paraId="331C7D97" w14:textId="77777777" w:rsidR="008B2642" w:rsidRDefault="008B2642" w:rsidP="008B2642">
      <w:pPr>
        <w:pStyle w:val="ListParagraph"/>
        <w:numPr>
          <w:ilvl w:val="0"/>
          <w:numId w:val="7"/>
        </w:numPr>
        <w:spacing w:before="0" w:after="0" w:line="240" w:lineRule="auto"/>
      </w:pPr>
      <w:r>
        <w:t xml:space="preserve">All of it, especially focusing on culture, special needs, management, technology, having TEMP events, guest speakers, field experience and partner projects/individual projects. </w:t>
      </w:r>
    </w:p>
    <w:p w14:paraId="670AE591" w14:textId="77777777" w:rsidR="008B2642" w:rsidRDefault="008B2642" w:rsidP="008B2642">
      <w:pPr>
        <w:pStyle w:val="ListParagraph"/>
        <w:numPr>
          <w:ilvl w:val="0"/>
          <w:numId w:val="7"/>
        </w:numPr>
        <w:spacing w:before="0" w:after="0" w:line="240" w:lineRule="auto"/>
      </w:pPr>
      <w:r>
        <w:t>Everything about my student teaching experience was important and valuable to my preparation. The school, teacher, and setting were ideal!</w:t>
      </w:r>
    </w:p>
    <w:p w14:paraId="2815D21B" w14:textId="77777777" w:rsidR="008B2642" w:rsidRDefault="008B2642" w:rsidP="008B2642">
      <w:pPr>
        <w:pStyle w:val="ListParagraph"/>
        <w:numPr>
          <w:ilvl w:val="0"/>
          <w:numId w:val="7"/>
        </w:numPr>
        <w:spacing w:before="0" w:after="0" w:line="240" w:lineRule="auto"/>
      </w:pPr>
      <w:r>
        <w:t xml:space="preserve">I was able to help with </w:t>
      </w:r>
      <w:r w:rsidRPr="00DE5151">
        <w:rPr>
          <w:u w:val="single"/>
        </w:rPr>
        <w:t>Muffins for Mom’s, Donuts for Dad’s</w:t>
      </w:r>
      <w:r>
        <w:t>, parent teacher conferences, as well as, re-vamping the schools pacing guide – all were great!</w:t>
      </w:r>
    </w:p>
    <w:p w14:paraId="682A14E5" w14:textId="77777777" w:rsidR="008B2642" w:rsidRDefault="008B2642" w:rsidP="008B2642">
      <w:pPr>
        <w:pStyle w:val="ListParagraph"/>
        <w:numPr>
          <w:ilvl w:val="0"/>
          <w:numId w:val="7"/>
        </w:numPr>
        <w:spacing w:before="0" w:after="0" w:line="240" w:lineRule="auto"/>
      </w:pPr>
      <w:r>
        <w:t>Before EDUC 471- aside from not actually starting my real project reflections for Regina on bi-weekly basis.</w:t>
      </w:r>
    </w:p>
    <w:p w14:paraId="31709326" w14:textId="77777777" w:rsidR="008B2642" w:rsidRPr="008E0F21" w:rsidRDefault="008B2642" w:rsidP="008B2642">
      <w:pPr>
        <w:pStyle w:val="ListParagraph"/>
        <w:numPr>
          <w:ilvl w:val="0"/>
          <w:numId w:val="7"/>
        </w:numPr>
        <w:spacing w:before="0" w:after="0" w:line="240" w:lineRule="auto"/>
      </w:pPr>
      <w:r>
        <w:t>Planning and teaching lessons were the most helpful activities.</w:t>
      </w:r>
    </w:p>
    <w:p w14:paraId="46C9D93E" w14:textId="77777777" w:rsidR="008B2642" w:rsidRPr="009C2828" w:rsidRDefault="008B2642" w:rsidP="008B2642">
      <w:r w:rsidRPr="009C2828">
        <w:t>4.  What are some specific obstacles that you faced in your TEP experience, and how did you deal with them?</w:t>
      </w:r>
    </w:p>
    <w:p w14:paraId="48A00174" w14:textId="77777777" w:rsidR="008B2642" w:rsidRDefault="008B2642" w:rsidP="008B2642">
      <w:pPr>
        <w:pStyle w:val="Header"/>
        <w:numPr>
          <w:ilvl w:val="0"/>
          <w:numId w:val="4"/>
        </w:numPr>
        <w:tabs>
          <w:tab w:val="clear" w:pos="4680"/>
          <w:tab w:val="clear" w:pos="9360"/>
        </w:tabs>
        <w:spacing w:before="0"/>
      </w:pPr>
      <w:r>
        <w:t xml:space="preserve">One challenge I faced was scheduling observation hours. I got to know more teachers as I went in to observe, but getting started was hard. Maybe, a TEP event showing students how to approach schools would be a good idea for the future. </w:t>
      </w:r>
    </w:p>
    <w:p w14:paraId="3D64A87E" w14:textId="77777777" w:rsidR="008B2642" w:rsidRDefault="008B2642" w:rsidP="008B2642">
      <w:pPr>
        <w:pStyle w:val="Header"/>
        <w:numPr>
          <w:ilvl w:val="0"/>
          <w:numId w:val="4"/>
        </w:numPr>
        <w:tabs>
          <w:tab w:val="clear" w:pos="4680"/>
          <w:tab w:val="clear" w:pos="9360"/>
        </w:tabs>
        <w:spacing w:before="0"/>
      </w:pPr>
      <w:r>
        <w:t>Blank</w:t>
      </w:r>
    </w:p>
    <w:p w14:paraId="59A0AC15" w14:textId="77777777" w:rsidR="008B2642" w:rsidRDefault="008B2642" w:rsidP="008B2642">
      <w:pPr>
        <w:pStyle w:val="Header"/>
        <w:numPr>
          <w:ilvl w:val="0"/>
          <w:numId w:val="4"/>
        </w:numPr>
        <w:tabs>
          <w:tab w:val="clear" w:pos="4680"/>
          <w:tab w:val="clear" w:pos="9360"/>
        </w:tabs>
        <w:spacing w:before="0"/>
      </w:pPr>
      <w:r>
        <w:t>I struggled in some courses to understand what was expected of me. Sometimes expectations changed, which made things very stressful. I tried to be honest and communicate with individuals to make things clear.</w:t>
      </w:r>
    </w:p>
    <w:p w14:paraId="03F69852" w14:textId="77777777" w:rsidR="008B2642" w:rsidRDefault="008B2642" w:rsidP="008B2642">
      <w:pPr>
        <w:pStyle w:val="Header"/>
        <w:numPr>
          <w:ilvl w:val="0"/>
          <w:numId w:val="4"/>
        </w:numPr>
        <w:tabs>
          <w:tab w:val="clear" w:pos="4680"/>
          <w:tab w:val="clear" w:pos="9360"/>
        </w:tabs>
        <w:spacing w:before="0"/>
      </w:pPr>
      <w:r>
        <w:t>There were several times where there was a miscommunication between student and instructor expectations. This was frustrating. To deal with them, I asked many different questions all the time.</w:t>
      </w:r>
    </w:p>
    <w:p w14:paraId="263E2A7A" w14:textId="77777777" w:rsidR="008B2642" w:rsidRDefault="008B2642" w:rsidP="008B2642">
      <w:pPr>
        <w:pStyle w:val="Header"/>
        <w:numPr>
          <w:ilvl w:val="0"/>
          <w:numId w:val="4"/>
        </w:numPr>
        <w:tabs>
          <w:tab w:val="clear" w:pos="4680"/>
          <w:tab w:val="clear" w:pos="9360"/>
        </w:tabs>
        <w:spacing w:before="0"/>
      </w:pPr>
      <w:r>
        <w:t>The EDUC 495 class meetings tended to be less of a help and more of a hindrance in terms of managing time during student teaching.</w:t>
      </w:r>
    </w:p>
    <w:p w14:paraId="39F05600" w14:textId="77777777" w:rsidR="008B2642" w:rsidRDefault="008B2642" w:rsidP="008B2642">
      <w:pPr>
        <w:pStyle w:val="Header"/>
        <w:numPr>
          <w:ilvl w:val="0"/>
          <w:numId w:val="4"/>
        </w:numPr>
        <w:tabs>
          <w:tab w:val="clear" w:pos="4680"/>
          <w:tab w:val="clear" w:pos="9360"/>
        </w:tabs>
        <w:spacing w:before="0"/>
      </w:pPr>
      <w:r>
        <w:t xml:space="preserve">It was hard to manage how demanding the TEP is. I had to manage my time to complete coursework while maintaining a job and participating in athletics. </w:t>
      </w:r>
    </w:p>
    <w:p w14:paraId="54200302" w14:textId="77777777" w:rsidR="008B2642" w:rsidRDefault="008B2642" w:rsidP="008B2642">
      <w:r>
        <w:lastRenderedPageBreak/>
        <w:t xml:space="preserve">This survey was provided by six faithful completers.  The survey requests opinions rather than a vague scale.  As such, this survey provides very beneficial information to the Division and in general can be summed up as having been very positive to the preparation they experienced at SKC Division of Education.  While the responses all seemed candid and sincere, not requiring the students to put their names on the surveys might be worth considering.  </w:t>
      </w:r>
    </w:p>
    <w:p w14:paraId="6B2048BA" w14:textId="77777777" w:rsidR="008B2642" w:rsidRPr="002910B0" w:rsidRDefault="008B2642" w:rsidP="002910B0">
      <w:pPr>
        <w:pStyle w:val="Heading2"/>
      </w:pPr>
      <w:bookmarkStart w:id="47" w:name="_Toc493221900"/>
      <w:r w:rsidRPr="002910B0">
        <w:t>Montana education preparation provider completers’ satisfaction survey</w:t>
      </w:r>
      <w:bookmarkEnd w:id="47"/>
    </w:p>
    <w:p w14:paraId="50930214" w14:textId="77777777" w:rsidR="008B2642" w:rsidRPr="002E5999" w:rsidRDefault="008B2642" w:rsidP="008B2642">
      <w:r w:rsidRPr="002E5999">
        <w:t xml:space="preserve">To gather information regarding students' perspectives of their professional preparation, the Montana Educator Preparation Provider Completer Satisfaction Survey was administered to Salish Kootenai College Division of Education completers.  Surveys were returned by nine completers.  The survey consisted of 19 questions requiring ranked responses and one open ended question in which the completer could offer comments with regard to their preparation experience.  </w:t>
      </w:r>
    </w:p>
    <w:p w14:paraId="32C39282" w14:textId="77777777" w:rsidR="008B2642" w:rsidRPr="002E5999" w:rsidRDefault="008B2642" w:rsidP="008B2642">
      <w:r w:rsidRPr="002E5999">
        <w:t xml:space="preserve">The overall findings were compiled from a total of 170 responses and were found to be very good with 99% of the respondents either Very Satisfied (78%) or </w:t>
      </w:r>
      <w:r>
        <w:t>S</w:t>
      </w:r>
      <w:r w:rsidRPr="002E5999">
        <w:t>ome</w:t>
      </w:r>
      <w:r>
        <w:t xml:space="preserve"> W</w:t>
      </w:r>
      <w:r w:rsidRPr="002E5999">
        <w:t>hat satisfied (21%) across all 19 of the professional preparation survey elements.  Those items receiving 100% of Very Satisfied responses were items Number 11, (encouraging critical thinking); Number 13, (growth as a professional); Number 17, (engaging with supervisors in supportive, professional conversation); and Number 18, (taking an active role on the instructional team).</w:t>
      </w:r>
    </w:p>
    <w:p w14:paraId="13D84585" w14:textId="77777777" w:rsidR="008B2642" w:rsidRPr="002E5999" w:rsidRDefault="008B2642" w:rsidP="008B2642">
      <w:r w:rsidRPr="002E5999">
        <w:t>Two elements of the survey, Number 5 (managing a classroom conducive to learning) and Number 9 (analyze assessment data to improve the effectiveness of instruction) each received one Somewhat Unsatisfied responses.  While 78% of the total responses were Very Satisfied, its contrary, i.e., Very Unsatisfied, received no responses.</w:t>
      </w:r>
    </w:p>
    <w:p w14:paraId="6AEFACF2" w14:textId="77777777" w:rsidR="008B2642" w:rsidRPr="002E5999" w:rsidRDefault="008B2642" w:rsidP="008B2642">
      <w:r w:rsidRPr="002E5999">
        <w:t xml:space="preserve">These responses indicate a very high degree of satisfaction with how completers have been prepared in critical thinking, professional growth, engaging with supervisors in supportive and professional conversation, and taking an active role on the instructional team.  There is a very nice logical conceptual flow with those four items; completers have learned how to think critically, that is, with judgement predicated by understanding objective principles, which provided these completers with the confidence to engage in professional level conversations with supervisors and then to act upon that confidence by participating on a team to make important curricular decisions.  Certainly it is no surprise these same completers are 100% very satisfied with their preparation in how to grow as a professional educator! </w:t>
      </w:r>
    </w:p>
    <w:p w14:paraId="07CAB182" w14:textId="77777777" w:rsidR="008B2642" w:rsidRPr="002E5999" w:rsidRDefault="008B2642" w:rsidP="008B2642">
      <w:r w:rsidRPr="002E5999">
        <w:t xml:space="preserve">The two areas that drew Somewhat Satisfied responses are crucial areas where today's teacher must be proficient.  Classroom management is now so important that the concept should be upgraded to classroom leadership.  All teachers need to learn well the principles of classroom leadership and to implement </w:t>
      </w:r>
      <w:r w:rsidR="009B2CDB">
        <w:t>t</w:t>
      </w:r>
      <w:r w:rsidRPr="002E5999">
        <w:t>hose principles proficiently so that all learners have the opportunity to learn in the appropriate environment.</w:t>
      </w:r>
    </w:p>
    <w:p w14:paraId="060889CB" w14:textId="77777777" w:rsidR="008B2642" w:rsidRDefault="008B2642">
      <w:pPr>
        <w:spacing w:before="0" w:after="200"/>
      </w:pPr>
      <w:r>
        <w:br w:type="page"/>
      </w:r>
    </w:p>
    <w:p w14:paraId="109AE1C1" w14:textId="77777777" w:rsidR="008B2642" w:rsidRPr="002E5999" w:rsidRDefault="008B2642" w:rsidP="008B2642">
      <w:r w:rsidRPr="002E5999">
        <w:lastRenderedPageBreak/>
        <w:t>The other area of concern is that of understanding action research and how to use it in order to inform instruction.  The Division of Education has taken recent steps in this regard including introducing a new course dedicated to this very survey item.  There is little doubt that the number of Very Satisfied will increase in coming years while the number of Unsatisfied responses will vanish.</w:t>
      </w:r>
    </w:p>
    <w:p w14:paraId="20D354A6" w14:textId="77777777" w:rsidR="008B2642" w:rsidRPr="002E5999" w:rsidRDefault="008B2642" w:rsidP="008B2642">
      <w:r>
        <w:rPr>
          <w:noProof/>
        </w:rPr>
        <w:drawing>
          <wp:inline distT="0" distB="0" distL="0" distR="0" wp14:anchorId="23F792BF" wp14:editId="6BC581F3">
            <wp:extent cx="6236898" cy="3295290"/>
            <wp:effectExtent l="0" t="0" r="12065" b="1968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E5999">
        <w:t xml:space="preserve">So while only one Somewhat Unsatisfied response was given for each of these two survey elements, both areas are highly important in today's classrooms.    .  </w:t>
      </w:r>
    </w:p>
    <w:p w14:paraId="66632C3C" w14:textId="77777777" w:rsidR="008B2642" w:rsidRPr="002E5999" w:rsidRDefault="008B2642" w:rsidP="008B2642">
      <w:r w:rsidRPr="002E5999">
        <w:t>The open ended comments are also instructive.  There were three completers with comments, which included</w:t>
      </w:r>
      <w:r>
        <w:t>:</w:t>
      </w:r>
      <w:r w:rsidRPr="002E5999">
        <w:t xml:space="preserve"> </w:t>
      </w:r>
    </w:p>
    <w:p w14:paraId="05A4E207" w14:textId="77777777" w:rsidR="008B2642" w:rsidRPr="002E5999" w:rsidRDefault="008B2642" w:rsidP="008B2642">
      <w:r w:rsidRPr="002E5999">
        <w:t xml:space="preserve"> (a) "The instructors at Salish Kootenai College did an excellent job of helping prepare me as a future teacher. I was encouraged to think outside the box, incorporate Indian Education for All into my lesson plans, understanding different learning styles and differentiating my lessons, and lastly, to remember to focus on students and not just the curriculum."   Another student offered quite concisely, "I feel that the institution prepared me very well!"</w:t>
      </w:r>
    </w:p>
    <w:p w14:paraId="217FCD0F" w14:textId="77777777" w:rsidR="008B2642" w:rsidRDefault="008B2642" w:rsidP="008B2642">
      <w:r w:rsidRPr="002E5999">
        <w:t>A third completer provided this insightful comment, "After completing my education in MT, I moved out of state and began teaching. I feel the education I received at SKC was much more diversified and gave me more real-world skills compared to many educators currently in the field who received their education at much larger institutions. I feel I was better prepared to work with a diverse group of students and have a well-rounded view of education and what it takes to be an educator in today’s world."</w:t>
      </w:r>
      <w:r w:rsidRPr="008B2642">
        <w:t xml:space="preserve"> </w:t>
      </w:r>
    </w:p>
    <w:p w14:paraId="3EEA79DD" w14:textId="77777777" w:rsidR="008B2642" w:rsidRDefault="008B2642" w:rsidP="008B2642">
      <w:r>
        <w:t xml:space="preserve">This is a state level assessment that would be much more useful if the categories of responses were not ambiguous and </w:t>
      </w:r>
      <w:r w:rsidR="00531B84">
        <w:t xml:space="preserve">if they were </w:t>
      </w:r>
      <w:r>
        <w:t xml:space="preserve">well defined.  For example, a completer could respond with, “Somewhat Satisfied” but that would imply the student is somewhat dissatisfied; on the other hand, a completer could respond with “Somewhat Unsatisfied” but obviously must be somewhat satisfied.  </w:t>
      </w:r>
    </w:p>
    <w:p w14:paraId="4451DCB7" w14:textId="77777777" w:rsidR="008B2642" w:rsidRDefault="008B2642" w:rsidP="008B2642">
      <w:r>
        <w:lastRenderedPageBreak/>
        <w:t>Or, it would not be impossible for a student to be very satisfied but also somewhat unsatisfied about a particular aspect and vice versa.  Maybe the student will let the somewhat dissatisfied dominate the decision to check “Very Satisfied” or maybe the student will let the very satisfied dominate a “Somewhat Satisfied” response.  At any rate, the developers of this survey will provide more information to preparation programs if this simple aspect of it were cleaned up to a more logical configuration.</w:t>
      </w:r>
    </w:p>
    <w:p w14:paraId="138D329F" w14:textId="77777777" w:rsidR="008B2642" w:rsidRDefault="008B2642" w:rsidP="002910B0">
      <w:pPr>
        <w:pStyle w:val="Heading2"/>
      </w:pPr>
      <w:bookmarkStart w:id="48" w:name="_Toc493221901"/>
      <w:r>
        <w:t>SKC TEP student teacher evaluation of college supervisor</w:t>
      </w:r>
      <w:r w:rsidR="0014349E">
        <w:t>.</w:t>
      </w:r>
      <w:bookmarkEnd w:id="48"/>
    </w:p>
    <w:p w14:paraId="2ADBC4F2" w14:textId="77777777" w:rsidR="008C5A64" w:rsidRDefault="008B2642" w:rsidP="008B2642">
      <w:pPr>
        <w:spacing w:before="0" w:after="200"/>
        <w:rPr>
          <w:rFonts w:eastAsiaTheme="majorEastAsia" w:cstheme="majorBidi"/>
          <w:bCs/>
          <w:szCs w:val="26"/>
        </w:rPr>
      </w:pPr>
      <w:r w:rsidRPr="00221DD9">
        <w:rPr>
          <w:rFonts w:eastAsiaTheme="majorEastAsia" w:cstheme="majorBidi"/>
          <w:bCs/>
          <w:szCs w:val="26"/>
        </w:rPr>
        <w:t>The Division of Education assigned one of four supervisors to each of the six student teachers who returned their surveys wherein they evaluated their individual college supervisor during their student teaching.  The survey contains seven ratable and three open ended items. Responses were scored on a five response scale with an additional option to check NA.  The categories of responses are Excellent, Very Good, Good, Fair, Unsat</w:t>
      </w:r>
      <w:r>
        <w:rPr>
          <w:rFonts w:eastAsiaTheme="majorEastAsia" w:cstheme="majorBidi"/>
          <w:bCs/>
          <w:szCs w:val="26"/>
        </w:rPr>
        <w:t>isfactory and N.</w:t>
      </w:r>
      <w:r w:rsidR="008C5A64" w:rsidRPr="008C5A64">
        <w:rPr>
          <w:rFonts w:eastAsiaTheme="majorEastAsia" w:cstheme="majorBidi"/>
          <w:bCs/>
          <w:szCs w:val="26"/>
        </w:rPr>
        <w:t xml:space="preserve"> </w:t>
      </w:r>
      <w:r w:rsidR="008C5A64">
        <w:rPr>
          <w:rFonts w:eastAsiaTheme="majorEastAsia" w:cstheme="majorBidi"/>
          <w:bCs/>
          <w:szCs w:val="26"/>
        </w:rPr>
        <w:t xml:space="preserve"> </w:t>
      </w:r>
    </w:p>
    <w:p w14:paraId="4C1F40D2" w14:textId="77777777" w:rsidR="008B2642" w:rsidRDefault="008C5A64" w:rsidP="008B2642">
      <w:pPr>
        <w:spacing w:before="0" w:after="200"/>
        <w:rPr>
          <w:rFonts w:eastAsiaTheme="majorEastAsia" w:cstheme="majorBidi"/>
          <w:bCs/>
          <w:szCs w:val="26"/>
        </w:rPr>
      </w:pPr>
      <w:r>
        <w:rPr>
          <w:rFonts w:eastAsiaTheme="majorEastAsia" w:cstheme="majorBidi"/>
          <w:bCs/>
          <w:szCs w:val="26"/>
        </w:rPr>
        <w:t>The elements of the survey are:</w:t>
      </w:r>
    </w:p>
    <w:p w14:paraId="66068803" w14:textId="77777777" w:rsidR="008B2642" w:rsidRPr="00124FB0" w:rsidRDefault="008B2642" w:rsidP="008B2642">
      <w:r w:rsidRPr="00124FB0">
        <w:rPr>
          <w:b/>
          <w:bCs/>
        </w:rPr>
        <w:t> </w:t>
      </w:r>
      <w:r w:rsidRPr="00124FB0">
        <w:t>The College Supervisor:</w:t>
      </w:r>
    </w:p>
    <w:p w14:paraId="239CBF1F" w14:textId="77777777" w:rsidR="008B2642" w:rsidRPr="00124FB0" w:rsidRDefault="008B2642" w:rsidP="008B2642">
      <w:r w:rsidRPr="00124FB0">
        <w:t>1.</w:t>
      </w:r>
      <w:r>
        <w:t xml:space="preserve">  </w:t>
      </w:r>
      <w:r w:rsidRPr="00124FB0">
        <w:t>Provided me with information regarding all aspects of the evaluation of my performance throughout the student teaching experience</w:t>
      </w:r>
      <w:r>
        <w:t xml:space="preserve">.  </w:t>
      </w:r>
      <w:r w:rsidRPr="00124FB0">
        <w:t>B, A, A, D, A, A</w:t>
      </w:r>
    </w:p>
    <w:p w14:paraId="4F5CCE8B" w14:textId="77777777" w:rsidR="008B2642" w:rsidRDefault="008B2642" w:rsidP="008B2642">
      <w:r>
        <w:t xml:space="preserve"> </w:t>
      </w:r>
      <w:r w:rsidRPr="00124FB0">
        <w:t>2.  Clarified any confusion I verbalized regarding documentation of my performance</w:t>
      </w:r>
      <w:r>
        <w:t xml:space="preserve">.  </w:t>
      </w:r>
    </w:p>
    <w:p w14:paraId="366C92DF" w14:textId="77777777" w:rsidR="008B2642" w:rsidRPr="00124FB0" w:rsidRDefault="008B2642" w:rsidP="008C5A64">
      <w:pPr>
        <w:ind w:firstLine="720"/>
      </w:pPr>
      <w:r w:rsidRPr="00124FB0">
        <w:t>C, A, A, F, A, A</w:t>
      </w:r>
    </w:p>
    <w:p w14:paraId="7E4B4FD2" w14:textId="77777777" w:rsidR="008B2642" w:rsidRPr="00124FB0" w:rsidRDefault="008B2642" w:rsidP="008C5A64">
      <w:pPr>
        <w:ind w:left="60"/>
      </w:pPr>
      <w:r w:rsidRPr="00124FB0">
        <w:t>3. Helped me to develop a positive working relationship with the cooperating mentor teacher (CMT).</w:t>
      </w:r>
      <w:r w:rsidR="008C5A64">
        <w:t xml:space="preserve"> </w:t>
      </w:r>
      <w:r w:rsidR="008C5A64">
        <w:tab/>
      </w:r>
      <w:r w:rsidRPr="00124FB0">
        <w:t>B, A, B, E, B, A</w:t>
      </w:r>
    </w:p>
    <w:p w14:paraId="2A423130" w14:textId="77777777" w:rsidR="008B2642" w:rsidRPr="00124FB0" w:rsidRDefault="008C5A64" w:rsidP="008B2642">
      <w:r>
        <w:t xml:space="preserve">4.  </w:t>
      </w:r>
      <w:r w:rsidR="008B2642" w:rsidRPr="00124FB0">
        <w:t>When I asked, provided me with assistance and support in dealing with the CMT. </w:t>
      </w:r>
    </w:p>
    <w:p w14:paraId="4865C8B1" w14:textId="77777777" w:rsidR="008B2642" w:rsidRPr="00124FB0" w:rsidRDefault="008B2642" w:rsidP="008C5A64">
      <w:pPr>
        <w:ind w:firstLine="720"/>
      </w:pPr>
      <w:r w:rsidRPr="00124FB0">
        <w:t>A, A, F, F, B, A</w:t>
      </w:r>
    </w:p>
    <w:p w14:paraId="03D1085E" w14:textId="77777777" w:rsidR="008B2642" w:rsidRPr="00124FB0" w:rsidRDefault="008B2642" w:rsidP="008B2642">
      <w:r w:rsidRPr="00124FB0">
        <w:rPr>
          <w:b/>
        </w:rPr>
        <w:t> </w:t>
      </w:r>
      <w:r w:rsidRPr="00124FB0">
        <w:t>5.  Completed at least the minimum number of visits</w:t>
      </w:r>
    </w:p>
    <w:p w14:paraId="053ABE5E" w14:textId="77777777" w:rsidR="008B2642" w:rsidRPr="00124FB0" w:rsidRDefault="008B2642" w:rsidP="008C5A64">
      <w:pPr>
        <w:ind w:firstLine="720"/>
      </w:pPr>
      <w:r w:rsidRPr="00124FB0">
        <w:t>A, A, A, E, A, A</w:t>
      </w:r>
    </w:p>
    <w:p w14:paraId="39A5C2D0" w14:textId="77777777" w:rsidR="008B2642" w:rsidRPr="00124FB0" w:rsidRDefault="008B2642" w:rsidP="008B2642">
      <w:r w:rsidRPr="00124FB0">
        <w:t> 6. Interacted with myself and the CMT in a respectful and encouraging manner. </w:t>
      </w:r>
    </w:p>
    <w:p w14:paraId="272F74EA" w14:textId="77777777" w:rsidR="008B2642" w:rsidRPr="00124FB0" w:rsidRDefault="008B2642" w:rsidP="008C5A64">
      <w:pPr>
        <w:ind w:firstLine="720"/>
      </w:pPr>
      <w:r w:rsidRPr="00124FB0">
        <w:t>B, A, A, C, A, A</w:t>
      </w:r>
    </w:p>
    <w:p w14:paraId="62A4F632" w14:textId="77777777" w:rsidR="008B2642" w:rsidRPr="00124FB0" w:rsidRDefault="008B2642" w:rsidP="008B2642">
      <w:r w:rsidRPr="00124FB0">
        <w:t>7. Responded to my questions and dilemmas about such matters as management techniques, classroom supervision, methods of presenting subject matter, assessment techniques, teaching strategies appropriate for the diverse needs of learners, and student teaching assignments.</w:t>
      </w:r>
    </w:p>
    <w:p w14:paraId="6D85B70D" w14:textId="77777777" w:rsidR="008B2642" w:rsidRPr="00124FB0" w:rsidRDefault="008B2642" w:rsidP="008B2642">
      <w:r w:rsidRPr="00124FB0">
        <w:t> </w:t>
      </w:r>
      <w:r>
        <w:t xml:space="preserve"> </w:t>
      </w:r>
      <w:r w:rsidR="008C5A64">
        <w:tab/>
      </w:r>
      <w:r w:rsidRPr="00124FB0">
        <w:t>B, A, B, F, A, A</w:t>
      </w:r>
    </w:p>
    <w:p w14:paraId="3DCC543A" w14:textId="77777777" w:rsidR="008B2642" w:rsidRDefault="008B2642" w:rsidP="008B2642">
      <w:r>
        <w:t xml:space="preserve">There were 25 As (Excellent), 6 </w:t>
      </w:r>
      <w:proofErr w:type="spellStart"/>
      <w:r>
        <w:t>Bs</w:t>
      </w:r>
      <w:proofErr w:type="spellEnd"/>
      <w:r>
        <w:t xml:space="preserve"> (Very Good), 2 Cs (Good), 1 D (Fair), 2 </w:t>
      </w:r>
      <w:proofErr w:type="spellStart"/>
      <w:r>
        <w:t>Es</w:t>
      </w:r>
      <w:proofErr w:type="spellEnd"/>
      <w:r>
        <w:t xml:space="preserve"> (Unsatisfactory), and 4 Fs (Not Applicable).  In glancing at these scores, don’t misinterpret the Fs for a poor rating.</w:t>
      </w:r>
    </w:p>
    <w:p w14:paraId="62C7FB20" w14:textId="77777777" w:rsidR="008C5A64" w:rsidRDefault="008C5A64" w:rsidP="008B2642">
      <w:r>
        <w:t>Table 20 summarizes the frequencies of response level</w:t>
      </w:r>
      <w:r w:rsidR="00531B84">
        <w:t>s</w:t>
      </w:r>
      <w:r>
        <w:t xml:space="preserve"> by percentages.</w:t>
      </w:r>
    </w:p>
    <w:p w14:paraId="2CF9F476" w14:textId="77777777" w:rsidR="008C5A64" w:rsidRDefault="008C5A64" w:rsidP="008B2642"/>
    <w:p w14:paraId="0C2413AF" w14:textId="77777777" w:rsidR="008C5A64" w:rsidRDefault="008C5A64" w:rsidP="008B2642">
      <w:r>
        <w:t xml:space="preserve"> </w:t>
      </w:r>
    </w:p>
    <w:p w14:paraId="5F13D89E" w14:textId="77777777" w:rsidR="008C5A64" w:rsidRDefault="00531B84" w:rsidP="00A47208">
      <w:pPr>
        <w:pStyle w:val="Caption"/>
        <w:jc w:val="center"/>
      </w:pPr>
      <w:r w:rsidRPr="00531B84">
        <w:rPr>
          <w:noProof/>
        </w:rPr>
        <w:lastRenderedPageBreak/>
        <w:drawing>
          <wp:inline distT="0" distB="0" distL="0" distR="0" wp14:anchorId="13173BF2" wp14:editId="7D635F58">
            <wp:extent cx="4968815" cy="2130399"/>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875" cy="2130425"/>
                    </a:xfrm>
                    <a:prstGeom prst="rect">
                      <a:avLst/>
                    </a:prstGeom>
                    <a:noFill/>
                    <a:ln>
                      <a:noFill/>
                    </a:ln>
                  </pic:spPr>
                </pic:pic>
              </a:graphicData>
            </a:graphic>
          </wp:inline>
        </w:drawing>
      </w:r>
    </w:p>
    <w:p w14:paraId="176A2082" w14:textId="77777777" w:rsidR="008B2642" w:rsidRDefault="008B2642" w:rsidP="003F5F47">
      <w:pPr>
        <w:pStyle w:val="Caption"/>
      </w:pPr>
      <w:r w:rsidRPr="003F5F47">
        <w:rPr>
          <w:b w:val="0"/>
          <w:color w:val="000000" w:themeColor="text1"/>
          <w:sz w:val="24"/>
          <w:szCs w:val="24"/>
        </w:rPr>
        <w:t>The open ended questions provide much more practical information and are as follows</w:t>
      </w:r>
      <w:r>
        <w:t>.</w:t>
      </w:r>
    </w:p>
    <w:p w14:paraId="5D6DDF69" w14:textId="77777777" w:rsidR="008B2642" w:rsidRPr="00402869" w:rsidRDefault="008B2642" w:rsidP="008B2642">
      <w:pPr>
        <w:tabs>
          <w:tab w:val="left" w:pos="-720"/>
          <w:tab w:val="left" w:pos="0"/>
        </w:tabs>
        <w:suppressAutoHyphens/>
        <w:ind w:left="720" w:hanging="720"/>
      </w:pPr>
      <w:r w:rsidRPr="00402869">
        <w:t xml:space="preserve">.   </w:t>
      </w:r>
      <w:r w:rsidRPr="00402869">
        <w:rPr>
          <w:i/>
          <w:iCs/>
        </w:rPr>
        <w:t>Answer the following questions completely and candidly.</w:t>
      </w:r>
    </w:p>
    <w:p w14:paraId="5B20A439" w14:textId="77777777" w:rsidR="008B2642" w:rsidRPr="00402869" w:rsidRDefault="008B2642" w:rsidP="008B2642">
      <w:pPr>
        <w:tabs>
          <w:tab w:val="left" w:pos="-720"/>
          <w:tab w:val="left" w:pos="0"/>
        </w:tabs>
        <w:suppressAutoHyphens/>
      </w:pPr>
      <w:r w:rsidRPr="00402869">
        <w:t xml:space="preserve">    8. In what additional ways (not indicated above) did the College Supervisor assist you or the CMT?</w:t>
      </w:r>
    </w:p>
    <w:p w14:paraId="0E48F9D3" w14:textId="77777777" w:rsidR="008B2642" w:rsidRDefault="008B2642" w:rsidP="008B2642">
      <w:pPr>
        <w:pStyle w:val="ListParagraph"/>
        <w:numPr>
          <w:ilvl w:val="0"/>
          <w:numId w:val="4"/>
        </w:numPr>
        <w:tabs>
          <w:tab w:val="left" w:pos="-720"/>
          <w:tab w:val="left" w:pos="0"/>
        </w:tabs>
        <w:suppressAutoHyphens/>
        <w:spacing w:before="0" w:after="0" w:line="240" w:lineRule="auto"/>
      </w:pPr>
      <w:r w:rsidRPr="00402869">
        <w:t xml:space="preserve">My college supervisor was excellent at encouraging me to keep trying techniques of teaching. He was upbeat about my faults and helped me overcome my feelings toward a lesson that didn’t go as planned. </w:t>
      </w:r>
    </w:p>
    <w:p w14:paraId="20A4C256" w14:textId="77777777" w:rsidR="008B2642" w:rsidRPr="00402869" w:rsidRDefault="008B2642" w:rsidP="008B2642">
      <w:pPr>
        <w:pStyle w:val="ListParagraph"/>
        <w:numPr>
          <w:ilvl w:val="0"/>
          <w:numId w:val="4"/>
        </w:numPr>
        <w:tabs>
          <w:tab w:val="left" w:pos="-720"/>
          <w:tab w:val="left" w:pos="0"/>
        </w:tabs>
        <w:suppressAutoHyphens/>
        <w:spacing w:before="0" w:after="0" w:line="240" w:lineRule="auto"/>
      </w:pPr>
      <w:r w:rsidRPr="00402869">
        <w:t>Anytime me or my cooperating teacher had any questions, our supervisor was always available by person, email, and phone to answer those questions.</w:t>
      </w:r>
    </w:p>
    <w:p w14:paraId="6BC016EF" w14:textId="77777777" w:rsidR="008B2642" w:rsidRPr="00402869"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402869">
        <w:rPr>
          <w:color w:val="000000" w:themeColor="text1"/>
        </w:rPr>
        <w:t xml:space="preserve">Mr. </w:t>
      </w:r>
      <w:proofErr w:type="spellStart"/>
      <w:r w:rsidRPr="00402869">
        <w:rPr>
          <w:color w:val="000000" w:themeColor="text1"/>
        </w:rPr>
        <w:t>Schinderle</w:t>
      </w:r>
      <w:proofErr w:type="spellEnd"/>
      <w:r w:rsidRPr="00402869">
        <w:rPr>
          <w:color w:val="000000" w:themeColor="text1"/>
        </w:rPr>
        <w:t xml:space="preserve"> was very helpful in finding an excellent student teaching placement for me, and was supportive and approachable.</w:t>
      </w:r>
    </w:p>
    <w:p w14:paraId="433CC9C8"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 xml:space="preserve">Answered several question over email very vaguely. </w:t>
      </w:r>
    </w:p>
    <w:p w14:paraId="0E15DA59"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 xml:space="preserve">Providing forms and deadlines to us and being flexible with the dates, etc. </w:t>
      </w:r>
    </w:p>
    <w:p w14:paraId="77662FE4"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The supervisor was very attentive to any needs I or the CMT had. He would frequently check in and was very professional.</w:t>
      </w:r>
    </w:p>
    <w:p w14:paraId="26483A70" w14:textId="77777777" w:rsidR="008B2642" w:rsidRPr="00BE509D" w:rsidRDefault="008B2642" w:rsidP="008B2642">
      <w:pPr>
        <w:numPr>
          <w:ilvl w:val="0"/>
          <w:numId w:val="8"/>
        </w:numPr>
        <w:tabs>
          <w:tab w:val="left" w:pos="-720"/>
          <w:tab w:val="left" w:pos="0"/>
        </w:tabs>
        <w:suppressAutoHyphens/>
        <w:spacing w:before="0" w:after="0" w:line="240" w:lineRule="auto"/>
        <w:rPr>
          <w:color w:val="000000" w:themeColor="text1"/>
        </w:rPr>
      </w:pPr>
      <w:r w:rsidRPr="00BE509D">
        <w:rPr>
          <w:color w:val="000000" w:themeColor="text1"/>
        </w:rPr>
        <w:t>What assistance did you request of the College Supervisor that was not provided?</w:t>
      </w:r>
    </w:p>
    <w:p w14:paraId="3BF690DC"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None that was not already provided.</w:t>
      </w:r>
    </w:p>
    <w:p w14:paraId="7D202E45"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Everything was provided.</w:t>
      </w:r>
    </w:p>
    <w:p w14:paraId="569C11EA"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There were no requests made that he did not respond professionally to.</w:t>
      </w:r>
    </w:p>
    <w:p w14:paraId="3C6819CC"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None</w:t>
      </w:r>
    </w:p>
    <w:p w14:paraId="00B26E25"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None</w:t>
      </w:r>
    </w:p>
    <w:p w14:paraId="58383C69"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All necessary assistance was provided.</w:t>
      </w:r>
    </w:p>
    <w:p w14:paraId="0072601E" w14:textId="77777777" w:rsidR="008B2642" w:rsidRPr="00BE509D" w:rsidRDefault="008B2642" w:rsidP="008B2642">
      <w:pPr>
        <w:tabs>
          <w:tab w:val="left" w:pos="-720"/>
          <w:tab w:val="left" w:pos="0"/>
        </w:tabs>
        <w:suppressAutoHyphens/>
        <w:rPr>
          <w:color w:val="000000" w:themeColor="text1"/>
        </w:rPr>
      </w:pPr>
      <w:r w:rsidRPr="00BE509D">
        <w:rPr>
          <w:color w:val="000000" w:themeColor="text1"/>
        </w:rPr>
        <w:t xml:space="preserve">10.  In order to improve the </w:t>
      </w:r>
      <w:r w:rsidR="003A284F">
        <w:rPr>
          <w:color w:val="000000" w:themeColor="text1"/>
        </w:rPr>
        <w:t>Teacher Education Program</w:t>
      </w:r>
      <w:r w:rsidRPr="00BE509D">
        <w:rPr>
          <w:color w:val="000000" w:themeColor="text1"/>
        </w:rPr>
        <w:t xml:space="preserve"> at Salish Kootenai College, please identify any area in which you feel you were inadequately prepared.  </w:t>
      </w:r>
    </w:p>
    <w:p w14:paraId="3EDE00EB"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My responsibilities of what I needed prepared for my college supervisor was unclear prior to his arrival. Going over student teacher handbook before student teaching, as a class, would have been helpful.</w:t>
      </w:r>
    </w:p>
    <w:p w14:paraId="65D5FCAE"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Learning more about math expressions is and it works on applying for grants for certain things in the classroom (tablets and smart tables).</w:t>
      </w:r>
    </w:p>
    <w:p w14:paraId="5D4B8530"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 xml:space="preserve">I felt mostly prepared for student teaching. However, I never received a copy of or went over the Student Teacher Handbook prior to ST and I wish that would have happened. </w:t>
      </w:r>
    </w:p>
    <w:p w14:paraId="35416472"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lastRenderedPageBreak/>
        <w:t xml:space="preserve">Lack of research as to who would be completing my evaluations during my student teaching in a different area – I was put in a position where I had to pressure the Principal to hold up his end of the responsibility. </w:t>
      </w:r>
    </w:p>
    <w:p w14:paraId="28B7335F" w14:textId="77777777" w:rsidR="008B2642" w:rsidRPr="00BE509D"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 xml:space="preserve">I feel like it would be helpful before the student teaching experience, to work with the CMT and College Supervisor to design an entire unit, notes, lab that will be taught at some point during the ST experience. </w:t>
      </w:r>
    </w:p>
    <w:p w14:paraId="173A81B4" w14:textId="77777777" w:rsidR="008B2642" w:rsidRDefault="008B2642" w:rsidP="008B2642">
      <w:pPr>
        <w:pStyle w:val="ListParagraph"/>
        <w:numPr>
          <w:ilvl w:val="0"/>
          <w:numId w:val="4"/>
        </w:numPr>
        <w:tabs>
          <w:tab w:val="left" w:pos="-720"/>
          <w:tab w:val="left" w:pos="0"/>
        </w:tabs>
        <w:suppressAutoHyphens/>
        <w:spacing w:before="0" w:after="0" w:line="240" w:lineRule="auto"/>
        <w:rPr>
          <w:color w:val="000000" w:themeColor="text1"/>
        </w:rPr>
      </w:pPr>
      <w:r w:rsidRPr="00BE509D">
        <w:rPr>
          <w:color w:val="000000" w:themeColor="text1"/>
        </w:rPr>
        <w:t>I felt adequately prepared.</w:t>
      </w:r>
    </w:p>
    <w:p w14:paraId="3A8EA717" w14:textId="77777777" w:rsidR="008C5A64" w:rsidRPr="008C5A64" w:rsidRDefault="008C5A64" w:rsidP="008C5A64">
      <w:pPr>
        <w:tabs>
          <w:tab w:val="left" w:pos="-720"/>
          <w:tab w:val="left" w:pos="0"/>
        </w:tabs>
        <w:suppressAutoHyphens/>
        <w:spacing w:before="0" w:after="0" w:line="240" w:lineRule="auto"/>
        <w:ind w:left="360"/>
        <w:rPr>
          <w:color w:val="000000" w:themeColor="text1"/>
        </w:rPr>
      </w:pPr>
    </w:p>
    <w:p w14:paraId="0DACE8E3" w14:textId="77777777" w:rsidR="008C5A64" w:rsidRPr="00221DD9" w:rsidRDefault="008C5A64" w:rsidP="008C5A64">
      <w:r w:rsidRPr="00221DD9">
        <w:t>Two items, #4 (assistance dealing with the cooperating teacher mentor) and # 7 (responded when asked for help with virtually any issue that came up) both had 100% approval for all six completers when responses for Excellent and Very Good are combined. An additional two items, #2 (clarified documentation of performance and #6 (interacted with student teacher and cooperating teacher in a respectful and encouraging manner) also reached 100% positive responses when the responses for Good is added to Very Good and Excellent.</w:t>
      </w:r>
    </w:p>
    <w:p w14:paraId="3D6F038A" w14:textId="77777777" w:rsidR="008C5A64" w:rsidRPr="00221DD9" w:rsidRDefault="008C5A64" w:rsidP="008C5A64">
      <w:r w:rsidRPr="00221DD9">
        <w:t xml:space="preserve">Once again the responses to the survey present an internal level of validity given items #4, #6, and #7 are collational in that the college supervisors were viewed to be most helpful in part when working with the student teachers and mentors to resolve issues and they do so with respect while at the same time providing encouragement of inspiration to both parties.  The high score for Item #2 brings the summative piece to the evaluation in that student teachers is particularly noteworthy in that first of all they want to know how to better document their performance and second, found their supervisors quite proficient in helping them to that end.  </w:t>
      </w:r>
    </w:p>
    <w:p w14:paraId="66E78C03" w14:textId="77777777" w:rsidR="008C5A64" w:rsidRPr="00221DD9" w:rsidRDefault="008C5A64" w:rsidP="008C5A64">
      <w:r w:rsidRPr="00221DD9">
        <w:t>This is an excellent finding in that these two items are essential to not just to the success of the student teacher and not just to making sure students receive a high level of education under the purview of the student teacher, but just as important of maintaining crucial partnerships.  This is a fine line in which to be proficient given the supervisor is providing support for the student teacher without offending the district personnel.  SKC Division of Education students often enter their student teaching experience with knowledge more current than their mentor teachers, for example, in technology and action research methods. The college supervisor has to walk a very tight rope so that the student teacher can put into practice what they have learned without offending district personnel who might be dat</w:t>
      </w:r>
      <w:r w:rsidR="009B2CDB">
        <w:t>ed</w:t>
      </w:r>
      <w:r w:rsidRPr="00221DD9">
        <w:t xml:space="preserve"> a bit on some of these things.   </w:t>
      </w:r>
    </w:p>
    <w:p w14:paraId="5BF348D9" w14:textId="77777777" w:rsidR="008C5A64" w:rsidRPr="00221DD9" w:rsidRDefault="008C5A64" w:rsidP="008C5A64">
      <w:r w:rsidRPr="00221DD9">
        <w:t>The remaining three survey items, #1, #3, and #5 were all at 83% when scored combining Excellent and Very Good responses.  While this is slightly below 100%, #1 and #3 are tempered a bit by the higher responses on #2 and #4 respectively.  The responses to the remaining item, #5 (supervisors completed the required number of visits), provide useful information as well that will be addressed as a result of this accreditation review.</w:t>
      </w:r>
    </w:p>
    <w:p w14:paraId="1F3E8D0B" w14:textId="77777777" w:rsidR="008C5A64" w:rsidRPr="00221DD9" w:rsidRDefault="008C5A64" w:rsidP="008C5A64">
      <w:pPr>
        <w:spacing w:before="0" w:after="200"/>
        <w:rPr>
          <w:rFonts w:eastAsiaTheme="majorEastAsia" w:cstheme="majorBidi"/>
          <w:bCs/>
          <w:szCs w:val="26"/>
        </w:rPr>
      </w:pPr>
      <w:r w:rsidRPr="00221DD9">
        <w:rPr>
          <w:rFonts w:eastAsiaTheme="majorEastAsia" w:cstheme="majorBidi"/>
          <w:bCs/>
          <w:szCs w:val="26"/>
        </w:rPr>
        <w:t>The overall findings</w:t>
      </w:r>
      <w:r>
        <w:rPr>
          <w:rFonts w:eastAsiaTheme="majorEastAsia" w:cstheme="majorBidi"/>
          <w:bCs/>
          <w:szCs w:val="26"/>
        </w:rPr>
        <w:t xml:space="preserve"> found in Table 20</w:t>
      </w:r>
      <w:r w:rsidRPr="00221DD9">
        <w:rPr>
          <w:rFonts w:eastAsiaTheme="majorEastAsia" w:cstheme="majorBidi"/>
          <w:bCs/>
          <w:szCs w:val="26"/>
        </w:rPr>
        <w:t xml:space="preserve"> reflect a strong program of supervising.  An average of 64% of the responses was Excellent and an average of 23% was rated as Very Good.  The combined Excellent and Very Good responses then accounted for 87% of the total responses.  Just 2% of the responses were Fair and 5% were rated Unsatisfactory.  </w:t>
      </w:r>
    </w:p>
    <w:p w14:paraId="3DB59B2A" w14:textId="77777777" w:rsidR="008C5A64" w:rsidRPr="00221DD9" w:rsidRDefault="008C5A64" w:rsidP="008C5A64">
      <w:pPr>
        <w:spacing w:before="0" w:after="200"/>
        <w:rPr>
          <w:rFonts w:eastAsiaTheme="majorEastAsia" w:cstheme="majorBidi"/>
          <w:bCs/>
          <w:szCs w:val="26"/>
        </w:rPr>
      </w:pPr>
      <w:r w:rsidRPr="00221DD9">
        <w:rPr>
          <w:rFonts w:eastAsiaTheme="majorEastAsia" w:cstheme="majorBidi"/>
          <w:bCs/>
          <w:szCs w:val="26"/>
        </w:rPr>
        <w:lastRenderedPageBreak/>
        <w:t>Item #8 asks the student teachers to identify any other ways in which they or their cooperating teacher mentor was supported by their college supervisors. Five of the six responses were very positive, noting their supervisors were always ready and able to help with any issues needing their attention. The sixth respondent noted his or her college supervisors responded to emails but was somethings vague.</w:t>
      </w:r>
    </w:p>
    <w:p w14:paraId="7B0E6EA0" w14:textId="77777777" w:rsidR="008C5A64" w:rsidRPr="00221DD9" w:rsidRDefault="008C5A64" w:rsidP="008C5A64">
      <w:pPr>
        <w:spacing w:before="0" w:after="200"/>
        <w:rPr>
          <w:rFonts w:eastAsiaTheme="majorEastAsia" w:cstheme="majorBidi"/>
          <w:bCs/>
          <w:szCs w:val="26"/>
        </w:rPr>
      </w:pPr>
      <w:r w:rsidRPr="00221DD9">
        <w:rPr>
          <w:rFonts w:eastAsiaTheme="majorEastAsia" w:cstheme="majorBidi"/>
          <w:bCs/>
          <w:szCs w:val="26"/>
        </w:rPr>
        <w:t>Item #9 asks the student teachers to identify anything needed but not provided by their college supervisors.  The respondents unanimously agreed nothing needed by them had been omitted or neglected and on the contrary, had been provided in a timely manner.</w:t>
      </w:r>
    </w:p>
    <w:p w14:paraId="73B6DE31" w14:textId="77777777" w:rsidR="008C5A64" w:rsidRPr="00221DD9" w:rsidRDefault="008C5A64" w:rsidP="008C5A64">
      <w:pPr>
        <w:spacing w:before="0" w:after="200"/>
        <w:rPr>
          <w:rFonts w:eastAsiaTheme="majorEastAsia" w:cstheme="majorBidi"/>
          <w:bCs/>
          <w:szCs w:val="26"/>
        </w:rPr>
      </w:pPr>
      <w:r w:rsidRPr="00221DD9">
        <w:rPr>
          <w:rFonts w:eastAsiaTheme="majorEastAsia" w:cstheme="majorBidi"/>
          <w:bCs/>
          <w:szCs w:val="26"/>
        </w:rPr>
        <w:t>The final item, #10, requests the respondents to identify anything that might improve how the Division of Education serves its students.  All six responses are important to note, so each is included here verbatim.</w:t>
      </w:r>
    </w:p>
    <w:p w14:paraId="4976F78F" w14:textId="77777777" w:rsidR="008C5A64" w:rsidRPr="00221DD9" w:rsidRDefault="008C5A64" w:rsidP="008C5A64">
      <w:pPr>
        <w:pStyle w:val="ListParagraph"/>
        <w:numPr>
          <w:ilvl w:val="0"/>
          <w:numId w:val="4"/>
        </w:numPr>
        <w:spacing w:before="0" w:after="200"/>
        <w:rPr>
          <w:rFonts w:eastAsiaTheme="majorEastAsia" w:cstheme="majorBidi"/>
          <w:bCs/>
          <w:szCs w:val="26"/>
        </w:rPr>
      </w:pPr>
      <w:r w:rsidRPr="00221DD9">
        <w:rPr>
          <w:rFonts w:eastAsiaTheme="majorEastAsia" w:cstheme="majorBidi"/>
          <w:bCs/>
          <w:iCs/>
          <w:szCs w:val="26"/>
        </w:rPr>
        <w:t>My responsibilities of what I needed prepared for my college supervisor was unclear prior to his arrival. Going over student teacher handbook before student teaching, as a class, would have been helpful.</w:t>
      </w:r>
    </w:p>
    <w:p w14:paraId="7404093B" w14:textId="77777777" w:rsidR="008C5A64" w:rsidRPr="00221DD9" w:rsidRDefault="008C5A64" w:rsidP="008C5A64">
      <w:pPr>
        <w:pStyle w:val="ListParagraph"/>
        <w:numPr>
          <w:ilvl w:val="0"/>
          <w:numId w:val="4"/>
        </w:numPr>
        <w:spacing w:before="0" w:after="200"/>
        <w:rPr>
          <w:rFonts w:eastAsiaTheme="majorEastAsia" w:cstheme="majorBidi"/>
          <w:bCs/>
          <w:szCs w:val="26"/>
        </w:rPr>
      </w:pPr>
      <w:r w:rsidRPr="00221DD9">
        <w:rPr>
          <w:rFonts w:eastAsiaTheme="majorEastAsia" w:cstheme="majorBidi"/>
          <w:bCs/>
          <w:iCs/>
          <w:szCs w:val="26"/>
        </w:rPr>
        <w:t>Learning more about math expressions is and it works on applying for grants for certain things in the classroom (tablets and smart tables).</w:t>
      </w:r>
    </w:p>
    <w:p w14:paraId="59E305EE" w14:textId="77777777" w:rsidR="008C5A64" w:rsidRPr="00221DD9" w:rsidRDefault="008C5A64" w:rsidP="008C5A64">
      <w:pPr>
        <w:pStyle w:val="ListParagraph"/>
        <w:numPr>
          <w:ilvl w:val="0"/>
          <w:numId w:val="4"/>
        </w:numPr>
        <w:spacing w:before="0" w:after="200"/>
        <w:rPr>
          <w:rFonts w:eastAsiaTheme="majorEastAsia" w:cstheme="majorBidi"/>
          <w:bCs/>
          <w:szCs w:val="26"/>
        </w:rPr>
      </w:pPr>
      <w:r w:rsidRPr="00221DD9">
        <w:rPr>
          <w:rFonts w:eastAsiaTheme="majorEastAsia" w:cstheme="majorBidi"/>
          <w:bCs/>
          <w:iCs/>
          <w:szCs w:val="26"/>
        </w:rPr>
        <w:t xml:space="preserve">I felt mostly prepared for student teaching. However, I never received a copy of or went over the Student Teacher Handbook prior to ST and I wish that would have happened. </w:t>
      </w:r>
    </w:p>
    <w:p w14:paraId="75677212" w14:textId="77777777" w:rsidR="008C5A64" w:rsidRPr="00221DD9" w:rsidRDefault="008C5A64" w:rsidP="008C5A64">
      <w:pPr>
        <w:pStyle w:val="ListParagraph"/>
        <w:numPr>
          <w:ilvl w:val="0"/>
          <w:numId w:val="4"/>
        </w:numPr>
        <w:spacing w:before="0" w:after="200"/>
        <w:rPr>
          <w:rFonts w:eastAsiaTheme="majorEastAsia" w:cstheme="majorBidi"/>
          <w:bCs/>
          <w:szCs w:val="26"/>
        </w:rPr>
      </w:pPr>
      <w:r w:rsidRPr="00221DD9">
        <w:rPr>
          <w:rFonts w:eastAsiaTheme="majorEastAsia" w:cstheme="majorBidi"/>
          <w:bCs/>
          <w:iCs/>
          <w:szCs w:val="26"/>
        </w:rPr>
        <w:t xml:space="preserve">Lack of research as to who would be completing my evaluations during my student teaching in a different area – I was put in a position where I had to pressure the Principal to hold up his end of the responsibility. </w:t>
      </w:r>
    </w:p>
    <w:p w14:paraId="1C900AFC" w14:textId="77777777" w:rsidR="008C5A64" w:rsidRPr="00221DD9" w:rsidRDefault="008C5A64" w:rsidP="008C5A64">
      <w:pPr>
        <w:pStyle w:val="ListParagraph"/>
        <w:numPr>
          <w:ilvl w:val="0"/>
          <w:numId w:val="4"/>
        </w:numPr>
        <w:spacing w:before="0" w:after="200"/>
        <w:rPr>
          <w:rFonts w:eastAsiaTheme="majorEastAsia" w:cstheme="majorBidi"/>
          <w:bCs/>
          <w:szCs w:val="26"/>
        </w:rPr>
      </w:pPr>
      <w:r w:rsidRPr="00221DD9">
        <w:rPr>
          <w:rFonts w:eastAsiaTheme="majorEastAsia" w:cstheme="majorBidi"/>
          <w:bCs/>
          <w:iCs/>
          <w:szCs w:val="26"/>
        </w:rPr>
        <w:t xml:space="preserve">I feel like it would be helpful before the student teaching experience, to work with the CMT and College Supervisor to design an entire unit, notes, lab that will be taught at some point during the ST experience. </w:t>
      </w:r>
    </w:p>
    <w:p w14:paraId="5D02357E" w14:textId="77777777" w:rsidR="008C5A64" w:rsidRPr="00221DD9" w:rsidRDefault="008C5A64" w:rsidP="008C5A64">
      <w:pPr>
        <w:pStyle w:val="ListParagraph"/>
        <w:numPr>
          <w:ilvl w:val="0"/>
          <w:numId w:val="4"/>
        </w:numPr>
        <w:spacing w:before="0" w:after="200"/>
        <w:rPr>
          <w:rFonts w:eastAsiaTheme="majorEastAsia" w:cstheme="majorBidi"/>
          <w:bCs/>
          <w:szCs w:val="26"/>
        </w:rPr>
      </w:pPr>
      <w:r w:rsidRPr="00221DD9">
        <w:rPr>
          <w:rFonts w:eastAsiaTheme="majorEastAsia" w:cstheme="majorBidi"/>
          <w:bCs/>
          <w:iCs/>
          <w:szCs w:val="26"/>
        </w:rPr>
        <w:t>I felt adequately prepared.</w:t>
      </w:r>
    </w:p>
    <w:p w14:paraId="38CB1BB5" w14:textId="77777777" w:rsidR="008B2642" w:rsidRDefault="008B2642" w:rsidP="002910B0">
      <w:pPr>
        <w:pStyle w:val="Heading2"/>
      </w:pPr>
      <w:bookmarkStart w:id="49" w:name="_Toc493221902"/>
      <w:r>
        <w:t>Evaluation of cooperating teachers’ ability to mentor a student teacher.</w:t>
      </w:r>
      <w:bookmarkEnd w:id="49"/>
    </w:p>
    <w:p w14:paraId="62F2CF09" w14:textId="77777777" w:rsidR="008B2642" w:rsidRDefault="00531B84" w:rsidP="00AF5BAE">
      <w:r>
        <w:t>Six</w:t>
      </w:r>
      <w:r w:rsidR="008B2642">
        <w:t xml:space="preserve"> completers returned this survey.  Repeated attempts by faculty for other completers to return th</w:t>
      </w:r>
      <w:r w:rsidR="00AF5BAE">
        <w:t>is and other</w:t>
      </w:r>
      <w:r w:rsidR="008B2642">
        <w:t xml:space="preserve"> survey</w:t>
      </w:r>
      <w:r w:rsidR="00AF5BAE">
        <w:t>s</w:t>
      </w:r>
      <w:r w:rsidR="008B2642">
        <w:t xml:space="preserve"> did not generate any new data.  The scoring is quite vague, from 1 to 5 with no definitions of what is meant by the gradations in scoring other than generic terms such as Greatest/Least</w:t>
      </w:r>
      <w:r w:rsidR="00AF5BAE">
        <w:t xml:space="preserve">.  To complicate the analysis, 1 represents the best score with 5 representing the worst score but on other assessments, 1 represented the worst score and 5 the best score.  The later scheme seemed to confuse some completers and so it is not possible to know what scores correlated.  The completers were given this open ended question:  </w:t>
      </w:r>
      <w:r w:rsidR="00AF5BAE" w:rsidRPr="00AF5BAE">
        <w:rPr>
          <w:i/>
        </w:rPr>
        <w:t xml:space="preserve">Please make additional comments on how the role </w:t>
      </w:r>
      <w:r w:rsidR="009B2CDB">
        <w:rPr>
          <w:i/>
        </w:rPr>
        <w:t>o</w:t>
      </w:r>
      <w:r w:rsidR="00AF5BAE" w:rsidRPr="00AF5BAE">
        <w:rPr>
          <w:i/>
        </w:rPr>
        <w:t>f the cooperating teacher might be changed to improve the student teaching experience</w:t>
      </w:r>
      <w:r w:rsidR="00AF5BAE">
        <w:t>.</w:t>
      </w:r>
    </w:p>
    <w:p w14:paraId="17FD75C5" w14:textId="77777777" w:rsidR="00AF5BAE" w:rsidRDefault="00AF5BAE" w:rsidP="00AF5BAE">
      <w:r>
        <w:t xml:space="preserve">Their responses are:  </w:t>
      </w:r>
    </w:p>
    <w:p w14:paraId="719BD6D0" w14:textId="77777777" w:rsidR="00AF5BAE" w:rsidRDefault="00AF5BAE" w:rsidP="00AF5BAE">
      <w:pPr>
        <w:pStyle w:val="ListParagraph"/>
        <w:numPr>
          <w:ilvl w:val="0"/>
          <w:numId w:val="4"/>
        </w:numPr>
      </w:pPr>
      <w:r>
        <w:t>My cooperating teacher was a great asset to me.  She helped me so much and I believe I grew tremendously.  I would ask her to observe I would ask her to observe me more frequently throughout my student teaching.</w:t>
      </w:r>
    </w:p>
    <w:p w14:paraId="028CD803" w14:textId="77777777" w:rsidR="00AF5BAE" w:rsidRDefault="00396927" w:rsidP="00AF5BAE">
      <w:pPr>
        <w:pStyle w:val="ListParagraph"/>
        <w:numPr>
          <w:ilvl w:val="0"/>
          <w:numId w:val="4"/>
        </w:numPr>
      </w:pPr>
      <w:r>
        <w:lastRenderedPageBreak/>
        <w:t>She was an excellent mentor.  I am so grateful to have been her student teacher!</w:t>
      </w:r>
    </w:p>
    <w:p w14:paraId="704794AC" w14:textId="77777777" w:rsidR="00396927" w:rsidRDefault="00396927" w:rsidP="00AF5BAE">
      <w:pPr>
        <w:pStyle w:val="ListParagraph"/>
        <w:numPr>
          <w:ilvl w:val="0"/>
          <w:numId w:val="4"/>
        </w:numPr>
      </w:pPr>
      <w:r>
        <w:t>No suggestions at all – my experience was a wonderful one and she was such a huge help.  She truly was such an inspiring educator to work with.</w:t>
      </w:r>
    </w:p>
    <w:p w14:paraId="051F836D" w14:textId="77777777" w:rsidR="00396927" w:rsidRDefault="00396927" w:rsidP="00AF5BAE">
      <w:pPr>
        <w:pStyle w:val="ListParagraph"/>
        <w:numPr>
          <w:ilvl w:val="0"/>
          <w:numId w:val="4"/>
        </w:numPr>
      </w:pPr>
      <w:r>
        <w:t>More frequent feedback.</w:t>
      </w:r>
    </w:p>
    <w:p w14:paraId="2501973C" w14:textId="77777777" w:rsidR="00BF3483" w:rsidRDefault="00BF3483" w:rsidP="00AF5BAE">
      <w:pPr>
        <w:pStyle w:val="ListParagraph"/>
        <w:numPr>
          <w:ilvl w:val="0"/>
          <w:numId w:val="4"/>
        </w:numPr>
      </w:pPr>
      <w:r>
        <w:t>Blank</w:t>
      </w:r>
    </w:p>
    <w:p w14:paraId="491399D6" w14:textId="77777777" w:rsidR="00BF3483" w:rsidRDefault="00BF3483" w:rsidP="00AF5BAE">
      <w:pPr>
        <w:pStyle w:val="ListParagraph"/>
        <w:numPr>
          <w:ilvl w:val="0"/>
          <w:numId w:val="4"/>
        </w:numPr>
      </w:pPr>
      <w:r>
        <w:t xml:space="preserve">I was happy with my cooperating teacher.  She was very supportive and good at making me get in there and teach.  A longer student teaching experience would be beneficial for more observation and co-teaching.  </w:t>
      </w:r>
    </w:p>
    <w:p w14:paraId="100173B2" w14:textId="77777777" w:rsidR="00BF3483" w:rsidRDefault="00BF3483" w:rsidP="00AF5BAE">
      <w:pPr>
        <w:pStyle w:val="ListParagraph"/>
        <w:numPr>
          <w:ilvl w:val="0"/>
          <w:numId w:val="4"/>
        </w:numPr>
      </w:pPr>
      <w:r>
        <w:t>I thought he did a great job of explaining everything.  He gave me honest feedback every day.  We got to know each other very well.  I honestly don’t think his role could be changed.  He was positive and helpful in all aspects.  All of my questions were answered.</w:t>
      </w:r>
    </w:p>
    <w:p w14:paraId="22C03C0C" w14:textId="77777777" w:rsidR="00BF3483" w:rsidRDefault="00BF3483" w:rsidP="00AF5BAE">
      <w:pPr>
        <w:pStyle w:val="ListParagraph"/>
        <w:numPr>
          <w:ilvl w:val="0"/>
          <w:numId w:val="4"/>
        </w:numPr>
      </w:pPr>
      <w:r>
        <w:t>I had the most positive experience.  Student teaching, the knowledge I have obtained is invaluable.  My mentor teacher was amazing.  Thank you for allowing me the opportunity pick my mentor teacher and advocating for me to the district on my behalf. I appreciate it.</w:t>
      </w:r>
    </w:p>
    <w:p w14:paraId="43CC5DAB" w14:textId="77777777" w:rsidR="00BF3483" w:rsidRDefault="00BF3483" w:rsidP="00BF3483">
      <w:pPr>
        <w:ind w:left="360"/>
      </w:pPr>
      <w:r>
        <w:t xml:space="preserve">These few comments pretty well sum of the quality of their mentor teachers as well as the preparation they were given prior to student teaching.  </w:t>
      </w:r>
    </w:p>
    <w:p w14:paraId="123243A3" w14:textId="77777777" w:rsidR="00BF3483" w:rsidRDefault="00EE2D24" w:rsidP="00EE2D24">
      <w:pPr>
        <w:ind w:firstLine="360"/>
      </w:pPr>
      <w:bookmarkStart w:id="50" w:name="_Toc493221903"/>
      <w:r w:rsidRPr="00EE2D24">
        <w:rPr>
          <w:rStyle w:val="Heading2Char"/>
        </w:rPr>
        <w:t>Employers’ survey of completers’ employment</w:t>
      </w:r>
      <w:bookmarkEnd w:id="50"/>
      <w:r>
        <w:t>.</w:t>
      </w:r>
    </w:p>
    <w:p w14:paraId="2D5987E0" w14:textId="77777777" w:rsidR="00EE2D24" w:rsidRPr="003F5F47" w:rsidRDefault="00EE2D24" w:rsidP="003F5F47">
      <w:r w:rsidRPr="003F5F47">
        <w:t>There were 15 employers who have responded with the appropriate survey regarding the employment of the Division’s completers.</w:t>
      </w:r>
      <w:r w:rsidR="00072205" w:rsidRPr="003F5F47">
        <w:t xml:space="preserve">  The criteria for survey are the 10 InTASC Standards and Indicators.  A total of 70 data points were completed by each of the 15 employers for the SKC Division of Education graduates who are employed as teachers in their Districts.  The results are quite interesting as presented in</w:t>
      </w:r>
      <w:r w:rsidR="003F5F47" w:rsidRPr="003F5F47">
        <w:t xml:space="preserve"> Table </w:t>
      </w:r>
      <w:r w:rsidR="00366323">
        <w:fldChar w:fldCharType="begin"/>
      </w:r>
      <w:r w:rsidR="00366323">
        <w:instrText xml:space="preserve"> SEQ Table \* ARABIC </w:instrText>
      </w:r>
      <w:r w:rsidR="00366323">
        <w:fldChar w:fldCharType="separate"/>
      </w:r>
      <w:r w:rsidR="0010294F">
        <w:rPr>
          <w:noProof/>
        </w:rPr>
        <w:t>20</w:t>
      </w:r>
      <w:r w:rsidR="00366323">
        <w:rPr>
          <w:noProof/>
        </w:rPr>
        <w:fldChar w:fldCharType="end"/>
      </w:r>
      <w:r w:rsidR="00072205" w:rsidRPr="003F5F47">
        <w:t>.</w:t>
      </w:r>
    </w:p>
    <w:tbl>
      <w:tblPr>
        <w:tblpPr w:leftFromText="180" w:rightFromText="180" w:vertAnchor="text" w:tblpXSpec="right" w:tblpY="1"/>
        <w:tblOverlap w:val="never"/>
        <w:tblW w:w="7562" w:type="dxa"/>
        <w:tblLook w:val="04A0" w:firstRow="1" w:lastRow="0" w:firstColumn="1" w:lastColumn="0" w:noHBand="0" w:noVBand="1"/>
      </w:tblPr>
      <w:tblGrid>
        <w:gridCol w:w="2548"/>
        <w:gridCol w:w="1266"/>
        <w:gridCol w:w="1288"/>
        <w:gridCol w:w="1156"/>
        <w:gridCol w:w="1304"/>
      </w:tblGrid>
      <w:tr w:rsidR="003F5F47" w:rsidRPr="003F5F47" w14:paraId="4BE98C3B" w14:textId="77777777" w:rsidTr="003F5F47">
        <w:trPr>
          <w:trHeight w:val="330"/>
        </w:trPr>
        <w:tc>
          <w:tcPr>
            <w:tcW w:w="7562" w:type="dxa"/>
            <w:gridSpan w:val="5"/>
            <w:tcBorders>
              <w:top w:val="single" w:sz="4" w:space="0" w:color="auto"/>
              <w:left w:val="nil"/>
              <w:bottom w:val="single" w:sz="4" w:space="0" w:color="auto"/>
              <w:right w:val="nil"/>
            </w:tcBorders>
            <w:shd w:val="clear" w:color="auto" w:fill="auto"/>
            <w:noWrap/>
            <w:vAlign w:val="bottom"/>
            <w:hideMark/>
          </w:tcPr>
          <w:p w14:paraId="5EBE7709" w14:textId="77777777" w:rsidR="003F5F47" w:rsidRPr="003F5F47" w:rsidRDefault="003F5F47" w:rsidP="003F5F47">
            <w:pPr>
              <w:spacing w:before="0" w:after="0" w:line="240" w:lineRule="auto"/>
              <w:jc w:val="center"/>
              <w:rPr>
                <w:rFonts w:eastAsia="Times New Roman"/>
                <w:b/>
                <w:bCs/>
                <w:color w:val="000000"/>
                <w:sz w:val="26"/>
                <w:szCs w:val="26"/>
              </w:rPr>
            </w:pPr>
            <w:r w:rsidRPr="003F5F47">
              <w:rPr>
                <w:rFonts w:eastAsia="Times New Roman"/>
                <w:b/>
                <w:bCs/>
                <w:color w:val="000000"/>
                <w:sz w:val="26"/>
                <w:szCs w:val="26"/>
              </w:rPr>
              <w:t>Table 21:  Frequency of Employer Responses by InTASC Standards</w:t>
            </w:r>
          </w:p>
        </w:tc>
      </w:tr>
      <w:tr w:rsidR="003F5F47" w:rsidRPr="003F5F47" w14:paraId="0A3A26F2" w14:textId="77777777" w:rsidTr="003F5F47">
        <w:trPr>
          <w:trHeight w:val="300"/>
        </w:trPr>
        <w:tc>
          <w:tcPr>
            <w:tcW w:w="2548" w:type="dxa"/>
            <w:tcBorders>
              <w:top w:val="nil"/>
              <w:left w:val="nil"/>
              <w:bottom w:val="single" w:sz="4" w:space="0" w:color="auto"/>
              <w:right w:val="nil"/>
            </w:tcBorders>
            <w:shd w:val="clear" w:color="auto" w:fill="auto"/>
            <w:noWrap/>
            <w:vAlign w:val="bottom"/>
            <w:hideMark/>
          </w:tcPr>
          <w:p w14:paraId="59B585DA" w14:textId="77777777" w:rsidR="003F5F47" w:rsidRPr="003F5F47" w:rsidRDefault="003F5F47" w:rsidP="003F5F47">
            <w:pPr>
              <w:spacing w:before="0" w:after="0" w:line="240" w:lineRule="auto"/>
              <w:jc w:val="center"/>
              <w:rPr>
                <w:rFonts w:eastAsia="Times New Roman"/>
                <w:b/>
                <w:bCs/>
                <w:color w:val="000000"/>
                <w:sz w:val="22"/>
              </w:rPr>
            </w:pPr>
            <w:r w:rsidRPr="003F5F47">
              <w:rPr>
                <w:rFonts w:eastAsia="Times New Roman"/>
                <w:b/>
                <w:bCs/>
                <w:color w:val="000000"/>
                <w:sz w:val="22"/>
              </w:rPr>
              <w:t>Descriptor</w:t>
            </w:r>
          </w:p>
        </w:tc>
        <w:tc>
          <w:tcPr>
            <w:tcW w:w="1266" w:type="dxa"/>
            <w:tcBorders>
              <w:top w:val="nil"/>
              <w:left w:val="nil"/>
              <w:bottom w:val="single" w:sz="4" w:space="0" w:color="auto"/>
              <w:right w:val="nil"/>
            </w:tcBorders>
            <w:shd w:val="clear" w:color="auto" w:fill="auto"/>
            <w:noWrap/>
            <w:vAlign w:val="bottom"/>
            <w:hideMark/>
          </w:tcPr>
          <w:p w14:paraId="23DCF4E8" w14:textId="77777777" w:rsidR="003F5F47" w:rsidRPr="003F5F47" w:rsidRDefault="003F5F47" w:rsidP="003F5F47">
            <w:pPr>
              <w:spacing w:before="0" w:after="0" w:line="240" w:lineRule="auto"/>
              <w:jc w:val="center"/>
              <w:rPr>
                <w:rFonts w:eastAsia="Times New Roman"/>
                <w:b/>
                <w:bCs/>
                <w:color w:val="000000"/>
                <w:sz w:val="22"/>
              </w:rPr>
            </w:pPr>
            <w:r w:rsidRPr="003F5F47">
              <w:rPr>
                <w:rFonts w:eastAsia="Times New Roman"/>
                <w:b/>
                <w:bCs/>
                <w:color w:val="000000"/>
                <w:sz w:val="22"/>
              </w:rPr>
              <w:t>Standard</w:t>
            </w:r>
          </w:p>
        </w:tc>
        <w:tc>
          <w:tcPr>
            <w:tcW w:w="1288" w:type="dxa"/>
            <w:tcBorders>
              <w:top w:val="nil"/>
              <w:left w:val="nil"/>
              <w:bottom w:val="single" w:sz="4" w:space="0" w:color="auto"/>
              <w:right w:val="nil"/>
            </w:tcBorders>
            <w:shd w:val="clear" w:color="auto" w:fill="auto"/>
            <w:noWrap/>
            <w:vAlign w:val="bottom"/>
            <w:hideMark/>
          </w:tcPr>
          <w:p w14:paraId="6EAC33A8" w14:textId="77777777" w:rsidR="003F5F47" w:rsidRPr="003F5F47" w:rsidRDefault="003F5F47" w:rsidP="003F5F47">
            <w:pPr>
              <w:spacing w:before="0" w:after="0" w:line="240" w:lineRule="auto"/>
              <w:jc w:val="center"/>
              <w:rPr>
                <w:rFonts w:eastAsia="Times New Roman"/>
                <w:b/>
                <w:bCs/>
                <w:color w:val="000000"/>
                <w:sz w:val="22"/>
              </w:rPr>
            </w:pPr>
            <w:r w:rsidRPr="003F5F47">
              <w:rPr>
                <w:rFonts w:eastAsia="Times New Roman"/>
                <w:b/>
                <w:bCs/>
                <w:color w:val="000000"/>
                <w:sz w:val="22"/>
              </w:rPr>
              <w:t>Exemplary</w:t>
            </w:r>
          </w:p>
        </w:tc>
        <w:tc>
          <w:tcPr>
            <w:tcW w:w="1156" w:type="dxa"/>
            <w:tcBorders>
              <w:top w:val="nil"/>
              <w:left w:val="nil"/>
              <w:bottom w:val="single" w:sz="4" w:space="0" w:color="auto"/>
              <w:right w:val="nil"/>
            </w:tcBorders>
            <w:shd w:val="clear" w:color="auto" w:fill="auto"/>
            <w:noWrap/>
            <w:vAlign w:val="bottom"/>
            <w:hideMark/>
          </w:tcPr>
          <w:p w14:paraId="5F46A9E4" w14:textId="77777777" w:rsidR="003F5F47" w:rsidRPr="003F5F47" w:rsidRDefault="003F5F47" w:rsidP="003F5F47">
            <w:pPr>
              <w:spacing w:before="0" w:after="0" w:line="240" w:lineRule="auto"/>
              <w:jc w:val="center"/>
              <w:rPr>
                <w:rFonts w:eastAsia="Times New Roman"/>
                <w:b/>
                <w:bCs/>
                <w:color w:val="000000"/>
                <w:sz w:val="22"/>
              </w:rPr>
            </w:pPr>
            <w:r w:rsidRPr="003F5F47">
              <w:rPr>
                <w:rFonts w:eastAsia="Times New Roman"/>
                <w:b/>
                <w:bCs/>
                <w:color w:val="000000"/>
                <w:sz w:val="22"/>
              </w:rPr>
              <w:t>Proficient</w:t>
            </w:r>
          </w:p>
        </w:tc>
        <w:tc>
          <w:tcPr>
            <w:tcW w:w="1304" w:type="dxa"/>
            <w:tcBorders>
              <w:top w:val="nil"/>
              <w:left w:val="nil"/>
              <w:bottom w:val="single" w:sz="4" w:space="0" w:color="auto"/>
              <w:right w:val="nil"/>
            </w:tcBorders>
            <w:shd w:val="clear" w:color="auto" w:fill="auto"/>
            <w:noWrap/>
            <w:vAlign w:val="bottom"/>
            <w:hideMark/>
          </w:tcPr>
          <w:p w14:paraId="34F08564" w14:textId="77777777" w:rsidR="003F5F47" w:rsidRPr="003F5F47" w:rsidRDefault="003F5F47" w:rsidP="003F5F47">
            <w:pPr>
              <w:spacing w:before="0" w:after="0" w:line="240" w:lineRule="auto"/>
              <w:jc w:val="center"/>
              <w:rPr>
                <w:rFonts w:eastAsia="Times New Roman"/>
                <w:b/>
                <w:bCs/>
                <w:color w:val="000000"/>
                <w:sz w:val="22"/>
              </w:rPr>
            </w:pPr>
            <w:r w:rsidRPr="003F5F47">
              <w:rPr>
                <w:rFonts w:eastAsia="Times New Roman"/>
                <w:b/>
                <w:bCs/>
                <w:color w:val="000000"/>
                <w:sz w:val="22"/>
              </w:rPr>
              <w:t xml:space="preserve">Developing </w:t>
            </w:r>
          </w:p>
        </w:tc>
      </w:tr>
      <w:tr w:rsidR="003F5F47" w:rsidRPr="003F5F47" w14:paraId="1E052B64" w14:textId="77777777" w:rsidTr="003F5F47">
        <w:trPr>
          <w:trHeight w:val="315"/>
        </w:trPr>
        <w:tc>
          <w:tcPr>
            <w:tcW w:w="2548" w:type="dxa"/>
            <w:tcBorders>
              <w:top w:val="nil"/>
              <w:left w:val="nil"/>
              <w:bottom w:val="nil"/>
              <w:right w:val="nil"/>
            </w:tcBorders>
            <w:shd w:val="clear" w:color="auto" w:fill="auto"/>
            <w:noWrap/>
            <w:vAlign w:val="center"/>
            <w:hideMark/>
          </w:tcPr>
          <w:p w14:paraId="73F4CEAE" w14:textId="77777777" w:rsidR="003F5F47" w:rsidRPr="003F5F47" w:rsidRDefault="003F5F47" w:rsidP="003F5F47">
            <w:pPr>
              <w:spacing w:before="0" w:after="0" w:line="240" w:lineRule="auto"/>
              <w:jc w:val="right"/>
              <w:rPr>
                <w:rFonts w:eastAsia="Times New Roman"/>
                <w:color w:val="000000"/>
                <w:sz w:val="22"/>
              </w:rPr>
            </w:pPr>
            <w:r w:rsidRPr="003F5F47">
              <w:rPr>
                <w:rFonts w:eastAsia="Times New Roman"/>
                <w:color w:val="000000"/>
                <w:sz w:val="22"/>
              </w:rPr>
              <w:t>Learner Development</w:t>
            </w:r>
          </w:p>
        </w:tc>
        <w:tc>
          <w:tcPr>
            <w:tcW w:w="1266" w:type="dxa"/>
            <w:tcBorders>
              <w:top w:val="nil"/>
              <w:left w:val="nil"/>
              <w:bottom w:val="nil"/>
              <w:right w:val="nil"/>
            </w:tcBorders>
            <w:shd w:val="clear" w:color="auto" w:fill="auto"/>
            <w:noWrap/>
            <w:vAlign w:val="center"/>
            <w:hideMark/>
          </w:tcPr>
          <w:p w14:paraId="11A9CEF7"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InTASC 1</w:t>
            </w:r>
          </w:p>
        </w:tc>
        <w:tc>
          <w:tcPr>
            <w:tcW w:w="1288" w:type="dxa"/>
            <w:tcBorders>
              <w:top w:val="nil"/>
              <w:left w:val="nil"/>
              <w:bottom w:val="nil"/>
              <w:right w:val="nil"/>
            </w:tcBorders>
            <w:shd w:val="clear" w:color="auto" w:fill="auto"/>
            <w:noWrap/>
            <w:vAlign w:val="bottom"/>
            <w:hideMark/>
          </w:tcPr>
          <w:p w14:paraId="3A75A6FB"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22%</w:t>
            </w:r>
          </w:p>
        </w:tc>
        <w:tc>
          <w:tcPr>
            <w:tcW w:w="1156" w:type="dxa"/>
            <w:tcBorders>
              <w:top w:val="nil"/>
              <w:left w:val="nil"/>
              <w:bottom w:val="nil"/>
              <w:right w:val="nil"/>
            </w:tcBorders>
            <w:shd w:val="clear" w:color="auto" w:fill="auto"/>
            <w:noWrap/>
            <w:vAlign w:val="bottom"/>
            <w:hideMark/>
          </w:tcPr>
          <w:p w14:paraId="4E93CF70"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68%</w:t>
            </w:r>
          </w:p>
        </w:tc>
        <w:tc>
          <w:tcPr>
            <w:tcW w:w="1304" w:type="dxa"/>
            <w:tcBorders>
              <w:top w:val="nil"/>
              <w:left w:val="nil"/>
              <w:bottom w:val="nil"/>
              <w:right w:val="nil"/>
            </w:tcBorders>
            <w:shd w:val="clear" w:color="auto" w:fill="auto"/>
            <w:noWrap/>
            <w:vAlign w:val="bottom"/>
            <w:hideMark/>
          </w:tcPr>
          <w:p w14:paraId="1789D6E1"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10%</w:t>
            </w:r>
          </w:p>
        </w:tc>
      </w:tr>
      <w:tr w:rsidR="003F5F47" w:rsidRPr="003F5F47" w14:paraId="7ABD8318" w14:textId="77777777" w:rsidTr="003F5F47">
        <w:trPr>
          <w:trHeight w:val="315"/>
        </w:trPr>
        <w:tc>
          <w:tcPr>
            <w:tcW w:w="2548" w:type="dxa"/>
            <w:tcBorders>
              <w:top w:val="nil"/>
              <w:left w:val="nil"/>
              <w:bottom w:val="nil"/>
              <w:right w:val="nil"/>
            </w:tcBorders>
            <w:shd w:val="clear" w:color="auto" w:fill="auto"/>
            <w:noWrap/>
            <w:vAlign w:val="center"/>
            <w:hideMark/>
          </w:tcPr>
          <w:p w14:paraId="475E50E7" w14:textId="77777777" w:rsidR="003F5F47" w:rsidRPr="003F5F47" w:rsidRDefault="003F5F47" w:rsidP="003F5F47">
            <w:pPr>
              <w:spacing w:before="0" w:after="0" w:line="240" w:lineRule="auto"/>
              <w:jc w:val="right"/>
              <w:rPr>
                <w:rFonts w:eastAsia="Times New Roman"/>
                <w:color w:val="000000"/>
                <w:sz w:val="22"/>
              </w:rPr>
            </w:pPr>
            <w:r w:rsidRPr="003F5F47">
              <w:rPr>
                <w:rFonts w:eastAsia="Times New Roman"/>
                <w:color w:val="000000"/>
                <w:sz w:val="22"/>
              </w:rPr>
              <w:t>Learning Differences</w:t>
            </w:r>
          </w:p>
        </w:tc>
        <w:tc>
          <w:tcPr>
            <w:tcW w:w="1266" w:type="dxa"/>
            <w:tcBorders>
              <w:top w:val="nil"/>
              <w:left w:val="nil"/>
              <w:bottom w:val="nil"/>
              <w:right w:val="nil"/>
            </w:tcBorders>
            <w:shd w:val="clear" w:color="auto" w:fill="auto"/>
            <w:noWrap/>
            <w:vAlign w:val="center"/>
            <w:hideMark/>
          </w:tcPr>
          <w:p w14:paraId="085282E4"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InTASC 2</w:t>
            </w:r>
          </w:p>
        </w:tc>
        <w:tc>
          <w:tcPr>
            <w:tcW w:w="1288" w:type="dxa"/>
            <w:tcBorders>
              <w:top w:val="nil"/>
              <w:left w:val="nil"/>
              <w:bottom w:val="nil"/>
              <w:right w:val="nil"/>
            </w:tcBorders>
            <w:shd w:val="clear" w:color="auto" w:fill="auto"/>
            <w:noWrap/>
            <w:vAlign w:val="bottom"/>
            <w:hideMark/>
          </w:tcPr>
          <w:p w14:paraId="6074178E"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30%</w:t>
            </w:r>
          </w:p>
        </w:tc>
        <w:tc>
          <w:tcPr>
            <w:tcW w:w="1156" w:type="dxa"/>
            <w:tcBorders>
              <w:top w:val="nil"/>
              <w:left w:val="nil"/>
              <w:bottom w:val="nil"/>
              <w:right w:val="nil"/>
            </w:tcBorders>
            <w:shd w:val="clear" w:color="auto" w:fill="auto"/>
            <w:noWrap/>
            <w:vAlign w:val="bottom"/>
            <w:hideMark/>
          </w:tcPr>
          <w:p w14:paraId="60B87B4D"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64%</w:t>
            </w:r>
          </w:p>
        </w:tc>
        <w:tc>
          <w:tcPr>
            <w:tcW w:w="1304" w:type="dxa"/>
            <w:tcBorders>
              <w:top w:val="nil"/>
              <w:left w:val="nil"/>
              <w:bottom w:val="nil"/>
              <w:right w:val="nil"/>
            </w:tcBorders>
            <w:shd w:val="clear" w:color="auto" w:fill="auto"/>
            <w:noWrap/>
            <w:vAlign w:val="bottom"/>
            <w:hideMark/>
          </w:tcPr>
          <w:p w14:paraId="205F1536"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6%</w:t>
            </w:r>
          </w:p>
        </w:tc>
      </w:tr>
      <w:tr w:rsidR="003F5F47" w:rsidRPr="003F5F47" w14:paraId="79215D60" w14:textId="77777777" w:rsidTr="003F5F47">
        <w:trPr>
          <w:trHeight w:val="315"/>
        </w:trPr>
        <w:tc>
          <w:tcPr>
            <w:tcW w:w="2548" w:type="dxa"/>
            <w:tcBorders>
              <w:top w:val="nil"/>
              <w:left w:val="nil"/>
              <w:bottom w:val="nil"/>
              <w:right w:val="nil"/>
            </w:tcBorders>
            <w:shd w:val="clear" w:color="auto" w:fill="auto"/>
            <w:noWrap/>
            <w:vAlign w:val="center"/>
            <w:hideMark/>
          </w:tcPr>
          <w:p w14:paraId="535B1EB0" w14:textId="77777777" w:rsidR="003F5F47" w:rsidRPr="003F5F47" w:rsidRDefault="003F5F47" w:rsidP="003F5F47">
            <w:pPr>
              <w:spacing w:before="0" w:after="0" w:line="240" w:lineRule="auto"/>
              <w:jc w:val="right"/>
              <w:rPr>
                <w:rFonts w:eastAsia="Times New Roman"/>
                <w:color w:val="000000"/>
                <w:sz w:val="22"/>
              </w:rPr>
            </w:pPr>
            <w:r w:rsidRPr="003F5F47">
              <w:rPr>
                <w:rFonts w:eastAsia="Times New Roman"/>
                <w:color w:val="000000"/>
                <w:sz w:val="22"/>
              </w:rPr>
              <w:t>Learning Environment</w:t>
            </w:r>
          </w:p>
        </w:tc>
        <w:tc>
          <w:tcPr>
            <w:tcW w:w="1266" w:type="dxa"/>
            <w:tcBorders>
              <w:top w:val="nil"/>
              <w:left w:val="nil"/>
              <w:bottom w:val="nil"/>
              <w:right w:val="nil"/>
            </w:tcBorders>
            <w:shd w:val="clear" w:color="auto" w:fill="auto"/>
            <w:noWrap/>
            <w:vAlign w:val="center"/>
            <w:hideMark/>
          </w:tcPr>
          <w:p w14:paraId="69B52039"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InTASC 3</w:t>
            </w:r>
          </w:p>
        </w:tc>
        <w:tc>
          <w:tcPr>
            <w:tcW w:w="1288" w:type="dxa"/>
            <w:tcBorders>
              <w:top w:val="nil"/>
              <w:left w:val="nil"/>
              <w:bottom w:val="nil"/>
              <w:right w:val="nil"/>
            </w:tcBorders>
            <w:shd w:val="clear" w:color="auto" w:fill="auto"/>
            <w:noWrap/>
            <w:vAlign w:val="bottom"/>
            <w:hideMark/>
          </w:tcPr>
          <w:p w14:paraId="64A22630"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30%</w:t>
            </w:r>
          </w:p>
        </w:tc>
        <w:tc>
          <w:tcPr>
            <w:tcW w:w="1156" w:type="dxa"/>
            <w:tcBorders>
              <w:top w:val="nil"/>
              <w:left w:val="nil"/>
              <w:bottom w:val="nil"/>
              <w:right w:val="nil"/>
            </w:tcBorders>
            <w:shd w:val="clear" w:color="auto" w:fill="auto"/>
            <w:noWrap/>
            <w:vAlign w:val="bottom"/>
            <w:hideMark/>
          </w:tcPr>
          <w:p w14:paraId="3B9FE677"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50%</w:t>
            </w:r>
          </w:p>
        </w:tc>
        <w:tc>
          <w:tcPr>
            <w:tcW w:w="1304" w:type="dxa"/>
            <w:tcBorders>
              <w:top w:val="nil"/>
              <w:left w:val="nil"/>
              <w:bottom w:val="nil"/>
              <w:right w:val="nil"/>
            </w:tcBorders>
            <w:shd w:val="clear" w:color="auto" w:fill="auto"/>
            <w:noWrap/>
            <w:vAlign w:val="bottom"/>
            <w:hideMark/>
          </w:tcPr>
          <w:p w14:paraId="005933B5"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20%</w:t>
            </w:r>
          </w:p>
        </w:tc>
      </w:tr>
      <w:tr w:rsidR="003F5F47" w:rsidRPr="003F5F47" w14:paraId="2817B537" w14:textId="77777777" w:rsidTr="003F5F47">
        <w:trPr>
          <w:trHeight w:val="315"/>
        </w:trPr>
        <w:tc>
          <w:tcPr>
            <w:tcW w:w="2548" w:type="dxa"/>
            <w:tcBorders>
              <w:top w:val="nil"/>
              <w:left w:val="nil"/>
              <w:bottom w:val="nil"/>
              <w:right w:val="nil"/>
            </w:tcBorders>
            <w:shd w:val="clear" w:color="auto" w:fill="auto"/>
            <w:noWrap/>
            <w:vAlign w:val="center"/>
            <w:hideMark/>
          </w:tcPr>
          <w:p w14:paraId="100815AE" w14:textId="77777777" w:rsidR="003F5F47" w:rsidRPr="003F5F47" w:rsidRDefault="003F5F47" w:rsidP="003F5F47">
            <w:pPr>
              <w:spacing w:before="0" w:after="0" w:line="240" w:lineRule="auto"/>
              <w:jc w:val="right"/>
              <w:rPr>
                <w:rFonts w:eastAsia="Times New Roman"/>
                <w:color w:val="000000"/>
                <w:sz w:val="22"/>
              </w:rPr>
            </w:pPr>
            <w:r w:rsidRPr="003F5F47">
              <w:rPr>
                <w:rFonts w:eastAsia="Times New Roman"/>
                <w:color w:val="000000"/>
                <w:sz w:val="22"/>
              </w:rPr>
              <w:t>Content Knowledge</w:t>
            </w:r>
          </w:p>
        </w:tc>
        <w:tc>
          <w:tcPr>
            <w:tcW w:w="1266" w:type="dxa"/>
            <w:tcBorders>
              <w:top w:val="nil"/>
              <w:left w:val="nil"/>
              <w:bottom w:val="nil"/>
              <w:right w:val="nil"/>
            </w:tcBorders>
            <w:shd w:val="clear" w:color="auto" w:fill="auto"/>
            <w:noWrap/>
            <w:vAlign w:val="center"/>
            <w:hideMark/>
          </w:tcPr>
          <w:p w14:paraId="213461FF"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InTASC 4</w:t>
            </w:r>
          </w:p>
        </w:tc>
        <w:tc>
          <w:tcPr>
            <w:tcW w:w="1288" w:type="dxa"/>
            <w:tcBorders>
              <w:top w:val="nil"/>
              <w:left w:val="nil"/>
              <w:bottom w:val="nil"/>
              <w:right w:val="nil"/>
            </w:tcBorders>
            <w:shd w:val="clear" w:color="auto" w:fill="auto"/>
            <w:noWrap/>
            <w:vAlign w:val="bottom"/>
            <w:hideMark/>
          </w:tcPr>
          <w:p w14:paraId="71A0266F"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24%</w:t>
            </w:r>
          </w:p>
        </w:tc>
        <w:tc>
          <w:tcPr>
            <w:tcW w:w="1156" w:type="dxa"/>
            <w:tcBorders>
              <w:top w:val="nil"/>
              <w:left w:val="nil"/>
              <w:bottom w:val="nil"/>
              <w:right w:val="nil"/>
            </w:tcBorders>
            <w:shd w:val="clear" w:color="auto" w:fill="auto"/>
            <w:noWrap/>
            <w:vAlign w:val="bottom"/>
            <w:hideMark/>
          </w:tcPr>
          <w:p w14:paraId="27EF765F"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51%</w:t>
            </w:r>
          </w:p>
        </w:tc>
        <w:tc>
          <w:tcPr>
            <w:tcW w:w="1304" w:type="dxa"/>
            <w:tcBorders>
              <w:top w:val="nil"/>
              <w:left w:val="nil"/>
              <w:bottom w:val="nil"/>
              <w:right w:val="nil"/>
            </w:tcBorders>
            <w:shd w:val="clear" w:color="auto" w:fill="auto"/>
            <w:noWrap/>
            <w:vAlign w:val="bottom"/>
            <w:hideMark/>
          </w:tcPr>
          <w:p w14:paraId="289CF2B4"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25%</w:t>
            </w:r>
          </w:p>
        </w:tc>
      </w:tr>
      <w:tr w:rsidR="003F5F47" w:rsidRPr="003F5F47" w14:paraId="41DF228E" w14:textId="77777777" w:rsidTr="003F5F47">
        <w:trPr>
          <w:trHeight w:val="315"/>
        </w:trPr>
        <w:tc>
          <w:tcPr>
            <w:tcW w:w="2548" w:type="dxa"/>
            <w:tcBorders>
              <w:top w:val="nil"/>
              <w:left w:val="nil"/>
              <w:bottom w:val="nil"/>
              <w:right w:val="nil"/>
            </w:tcBorders>
            <w:shd w:val="clear" w:color="auto" w:fill="auto"/>
            <w:noWrap/>
            <w:vAlign w:val="center"/>
            <w:hideMark/>
          </w:tcPr>
          <w:p w14:paraId="308FBFF2" w14:textId="77777777" w:rsidR="003F5F47" w:rsidRPr="003F5F47" w:rsidRDefault="003F5F47" w:rsidP="003F5F47">
            <w:pPr>
              <w:spacing w:before="0" w:after="0" w:line="240" w:lineRule="auto"/>
              <w:jc w:val="right"/>
              <w:rPr>
                <w:rFonts w:eastAsia="Times New Roman"/>
                <w:color w:val="000000"/>
                <w:sz w:val="22"/>
              </w:rPr>
            </w:pPr>
            <w:r w:rsidRPr="003F5F47">
              <w:rPr>
                <w:rFonts w:eastAsia="Times New Roman"/>
                <w:color w:val="000000"/>
                <w:sz w:val="22"/>
              </w:rPr>
              <w:t>Application of Content</w:t>
            </w:r>
          </w:p>
        </w:tc>
        <w:tc>
          <w:tcPr>
            <w:tcW w:w="1266" w:type="dxa"/>
            <w:tcBorders>
              <w:top w:val="nil"/>
              <w:left w:val="nil"/>
              <w:bottom w:val="nil"/>
              <w:right w:val="nil"/>
            </w:tcBorders>
            <w:shd w:val="clear" w:color="auto" w:fill="auto"/>
            <w:noWrap/>
            <w:vAlign w:val="center"/>
            <w:hideMark/>
          </w:tcPr>
          <w:p w14:paraId="15C36CE6"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InTASC 5</w:t>
            </w:r>
          </w:p>
        </w:tc>
        <w:tc>
          <w:tcPr>
            <w:tcW w:w="1288" w:type="dxa"/>
            <w:tcBorders>
              <w:top w:val="nil"/>
              <w:left w:val="nil"/>
              <w:bottom w:val="nil"/>
              <w:right w:val="nil"/>
            </w:tcBorders>
            <w:shd w:val="clear" w:color="auto" w:fill="auto"/>
            <w:noWrap/>
            <w:vAlign w:val="bottom"/>
            <w:hideMark/>
          </w:tcPr>
          <w:p w14:paraId="0535800F"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14%</w:t>
            </w:r>
          </w:p>
        </w:tc>
        <w:tc>
          <w:tcPr>
            <w:tcW w:w="1156" w:type="dxa"/>
            <w:tcBorders>
              <w:top w:val="nil"/>
              <w:left w:val="nil"/>
              <w:bottom w:val="nil"/>
              <w:right w:val="nil"/>
            </w:tcBorders>
            <w:shd w:val="clear" w:color="auto" w:fill="auto"/>
            <w:noWrap/>
            <w:vAlign w:val="bottom"/>
            <w:hideMark/>
          </w:tcPr>
          <w:p w14:paraId="707E8461"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62%</w:t>
            </w:r>
          </w:p>
        </w:tc>
        <w:tc>
          <w:tcPr>
            <w:tcW w:w="1304" w:type="dxa"/>
            <w:tcBorders>
              <w:top w:val="nil"/>
              <w:left w:val="nil"/>
              <w:bottom w:val="nil"/>
              <w:right w:val="nil"/>
            </w:tcBorders>
            <w:shd w:val="clear" w:color="auto" w:fill="auto"/>
            <w:noWrap/>
            <w:vAlign w:val="bottom"/>
            <w:hideMark/>
          </w:tcPr>
          <w:p w14:paraId="40A981A3"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23%</w:t>
            </w:r>
          </w:p>
        </w:tc>
      </w:tr>
      <w:tr w:rsidR="003F5F47" w:rsidRPr="003F5F47" w14:paraId="2D8FEA87" w14:textId="77777777" w:rsidTr="003F5F47">
        <w:trPr>
          <w:trHeight w:val="315"/>
        </w:trPr>
        <w:tc>
          <w:tcPr>
            <w:tcW w:w="2548" w:type="dxa"/>
            <w:tcBorders>
              <w:top w:val="nil"/>
              <w:left w:val="nil"/>
              <w:bottom w:val="nil"/>
              <w:right w:val="nil"/>
            </w:tcBorders>
            <w:shd w:val="clear" w:color="auto" w:fill="auto"/>
            <w:noWrap/>
            <w:vAlign w:val="center"/>
            <w:hideMark/>
          </w:tcPr>
          <w:p w14:paraId="283D8159" w14:textId="77777777" w:rsidR="003F5F47" w:rsidRPr="003F5F47" w:rsidRDefault="003F5F47" w:rsidP="003F5F47">
            <w:pPr>
              <w:spacing w:before="0" w:after="0" w:line="240" w:lineRule="auto"/>
              <w:jc w:val="right"/>
              <w:rPr>
                <w:rFonts w:eastAsia="Times New Roman"/>
                <w:color w:val="000000"/>
                <w:sz w:val="22"/>
              </w:rPr>
            </w:pPr>
            <w:r w:rsidRPr="003F5F47">
              <w:rPr>
                <w:rFonts w:eastAsia="Times New Roman"/>
                <w:color w:val="000000"/>
                <w:sz w:val="22"/>
              </w:rPr>
              <w:t>Assessment</w:t>
            </w:r>
          </w:p>
        </w:tc>
        <w:tc>
          <w:tcPr>
            <w:tcW w:w="1266" w:type="dxa"/>
            <w:tcBorders>
              <w:top w:val="nil"/>
              <w:left w:val="nil"/>
              <w:bottom w:val="nil"/>
              <w:right w:val="nil"/>
            </w:tcBorders>
            <w:shd w:val="clear" w:color="auto" w:fill="auto"/>
            <w:noWrap/>
            <w:vAlign w:val="center"/>
            <w:hideMark/>
          </w:tcPr>
          <w:p w14:paraId="5A97EC0D"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InTASC 6</w:t>
            </w:r>
          </w:p>
        </w:tc>
        <w:tc>
          <w:tcPr>
            <w:tcW w:w="1288" w:type="dxa"/>
            <w:tcBorders>
              <w:top w:val="nil"/>
              <w:left w:val="nil"/>
              <w:bottom w:val="nil"/>
              <w:right w:val="nil"/>
            </w:tcBorders>
            <w:shd w:val="clear" w:color="auto" w:fill="auto"/>
            <w:noWrap/>
            <w:vAlign w:val="bottom"/>
            <w:hideMark/>
          </w:tcPr>
          <w:p w14:paraId="11479BD2"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4%</w:t>
            </w:r>
          </w:p>
        </w:tc>
        <w:tc>
          <w:tcPr>
            <w:tcW w:w="1156" w:type="dxa"/>
            <w:tcBorders>
              <w:top w:val="nil"/>
              <w:left w:val="nil"/>
              <w:bottom w:val="nil"/>
              <w:right w:val="nil"/>
            </w:tcBorders>
            <w:shd w:val="clear" w:color="auto" w:fill="auto"/>
            <w:noWrap/>
            <w:vAlign w:val="bottom"/>
            <w:hideMark/>
          </w:tcPr>
          <w:p w14:paraId="03318CC0"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67%</w:t>
            </w:r>
          </w:p>
        </w:tc>
        <w:tc>
          <w:tcPr>
            <w:tcW w:w="1304" w:type="dxa"/>
            <w:tcBorders>
              <w:top w:val="nil"/>
              <w:left w:val="nil"/>
              <w:bottom w:val="nil"/>
              <w:right w:val="nil"/>
            </w:tcBorders>
            <w:shd w:val="clear" w:color="auto" w:fill="auto"/>
            <w:noWrap/>
            <w:vAlign w:val="bottom"/>
            <w:hideMark/>
          </w:tcPr>
          <w:p w14:paraId="1EF163D7"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30%</w:t>
            </w:r>
          </w:p>
        </w:tc>
      </w:tr>
      <w:tr w:rsidR="003F5F47" w:rsidRPr="003F5F47" w14:paraId="31E54F49" w14:textId="77777777" w:rsidTr="003F5F47">
        <w:trPr>
          <w:trHeight w:val="315"/>
        </w:trPr>
        <w:tc>
          <w:tcPr>
            <w:tcW w:w="2548" w:type="dxa"/>
            <w:tcBorders>
              <w:top w:val="nil"/>
              <w:left w:val="nil"/>
              <w:bottom w:val="nil"/>
              <w:right w:val="nil"/>
            </w:tcBorders>
            <w:shd w:val="clear" w:color="auto" w:fill="auto"/>
            <w:noWrap/>
            <w:vAlign w:val="center"/>
            <w:hideMark/>
          </w:tcPr>
          <w:p w14:paraId="05250919" w14:textId="77777777" w:rsidR="003F5F47" w:rsidRPr="003F5F47" w:rsidRDefault="003F5F47" w:rsidP="003F5F47">
            <w:pPr>
              <w:spacing w:before="0" w:after="0" w:line="240" w:lineRule="auto"/>
              <w:jc w:val="right"/>
              <w:rPr>
                <w:rFonts w:eastAsia="Times New Roman"/>
                <w:color w:val="000000"/>
                <w:sz w:val="22"/>
              </w:rPr>
            </w:pPr>
            <w:r w:rsidRPr="003F5F47">
              <w:rPr>
                <w:rFonts w:eastAsia="Times New Roman"/>
                <w:color w:val="000000"/>
                <w:sz w:val="22"/>
              </w:rPr>
              <w:t>Planning for Instruction</w:t>
            </w:r>
          </w:p>
        </w:tc>
        <w:tc>
          <w:tcPr>
            <w:tcW w:w="1266" w:type="dxa"/>
            <w:tcBorders>
              <w:top w:val="nil"/>
              <w:left w:val="nil"/>
              <w:bottom w:val="nil"/>
              <w:right w:val="nil"/>
            </w:tcBorders>
            <w:shd w:val="clear" w:color="auto" w:fill="auto"/>
            <w:noWrap/>
            <w:vAlign w:val="center"/>
            <w:hideMark/>
          </w:tcPr>
          <w:p w14:paraId="78DAC591"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InTASC 7</w:t>
            </w:r>
          </w:p>
        </w:tc>
        <w:tc>
          <w:tcPr>
            <w:tcW w:w="1288" w:type="dxa"/>
            <w:tcBorders>
              <w:top w:val="nil"/>
              <w:left w:val="nil"/>
              <w:bottom w:val="nil"/>
              <w:right w:val="nil"/>
            </w:tcBorders>
            <w:shd w:val="clear" w:color="auto" w:fill="auto"/>
            <w:noWrap/>
            <w:vAlign w:val="bottom"/>
            <w:hideMark/>
          </w:tcPr>
          <w:p w14:paraId="7BDA426F"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29%</w:t>
            </w:r>
          </w:p>
        </w:tc>
        <w:tc>
          <w:tcPr>
            <w:tcW w:w="1156" w:type="dxa"/>
            <w:tcBorders>
              <w:top w:val="nil"/>
              <w:left w:val="nil"/>
              <w:bottom w:val="nil"/>
              <w:right w:val="nil"/>
            </w:tcBorders>
            <w:shd w:val="clear" w:color="auto" w:fill="auto"/>
            <w:noWrap/>
            <w:vAlign w:val="bottom"/>
            <w:hideMark/>
          </w:tcPr>
          <w:p w14:paraId="7F3398C7"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59%</w:t>
            </w:r>
          </w:p>
        </w:tc>
        <w:tc>
          <w:tcPr>
            <w:tcW w:w="1304" w:type="dxa"/>
            <w:tcBorders>
              <w:top w:val="nil"/>
              <w:left w:val="nil"/>
              <w:bottom w:val="nil"/>
              <w:right w:val="nil"/>
            </w:tcBorders>
            <w:shd w:val="clear" w:color="auto" w:fill="auto"/>
            <w:noWrap/>
            <w:vAlign w:val="bottom"/>
            <w:hideMark/>
          </w:tcPr>
          <w:p w14:paraId="7978FF41"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12%</w:t>
            </w:r>
          </w:p>
        </w:tc>
      </w:tr>
      <w:tr w:rsidR="003F5F47" w:rsidRPr="003F5F47" w14:paraId="09E6EB6C" w14:textId="77777777" w:rsidTr="003F5F47">
        <w:trPr>
          <w:trHeight w:val="315"/>
        </w:trPr>
        <w:tc>
          <w:tcPr>
            <w:tcW w:w="2548" w:type="dxa"/>
            <w:tcBorders>
              <w:top w:val="nil"/>
              <w:left w:val="nil"/>
              <w:bottom w:val="nil"/>
              <w:right w:val="nil"/>
            </w:tcBorders>
            <w:shd w:val="clear" w:color="auto" w:fill="auto"/>
            <w:noWrap/>
            <w:vAlign w:val="center"/>
            <w:hideMark/>
          </w:tcPr>
          <w:p w14:paraId="451F61EF" w14:textId="77777777" w:rsidR="003F5F47" w:rsidRPr="003F5F47" w:rsidRDefault="003F5F47" w:rsidP="003F5F47">
            <w:pPr>
              <w:spacing w:before="0" w:after="0" w:line="240" w:lineRule="auto"/>
              <w:jc w:val="right"/>
              <w:rPr>
                <w:rFonts w:eastAsia="Times New Roman"/>
                <w:color w:val="000000"/>
                <w:sz w:val="22"/>
              </w:rPr>
            </w:pPr>
            <w:r w:rsidRPr="003F5F47">
              <w:rPr>
                <w:rFonts w:eastAsia="Times New Roman"/>
                <w:color w:val="000000"/>
                <w:sz w:val="22"/>
              </w:rPr>
              <w:t>Instructional Strategies</w:t>
            </w:r>
          </w:p>
        </w:tc>
        <w:tc>
          <w:tcPr>
            <w:tcW w:w="1266" w:type="dxa"/>
            <w:tcBorders>
              <w:top w:val="nil"/>
              <w:left w:val="nil"/>
              <w:bottom w:val="nil"/>
              <w:right w:val="nil"/>
            </w:tcBorders>
            <w:shd w:val="clear" w:color="auto" w:fill="auto"/>
            <w:noWrap/>
            <w:vAlign w:val="center"/>
            <w:hideMark/>
          </w:tcPr>
          <w:p w14:paraId="5FFCF36D"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InTASC 8</w:t>
            </w:r>
          </w:p>
        </w:tc>
        <w:tc>
          <w:tcPr>
            <w:tcW w:w="1288" w:type="dxa"/>
            <w:tcBorders>
              <w:top w:val="nil"/>
              <w:left w:val="nil"/>
              <w:bottom w:val="nil"/>
              <w:right w:val="nil"/>
            </w:tcBorders>
            <w:shd w:val="clear" w:color="auto" w:fill="auto"/>
            <w:noWrap/>
            <w:vAlign w:val="bottom"/>
            <w:hideMark/>
          </w:tcPr>
          <w:p w14:paraId="06138221"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13%</w:t>
            </w:r>
          </w:p>
        </w:tc>
        <w:tc>
          <w:tcPr>
            <w:tcW w:w="1156" w:type="dxa"/>
            <w:tcBorders>
              <w:top w:val="nil"/>
              <w:left w:val="nil"/>
              <w:bottom w:val="nil"/>
              <w:right w:val="nil"/>
            </w:tcBorders>
            <w:shd w:val="clear" w:color="auto" w:fill="auto"/>
            <w:noWrap/>
            <w:vAlign w:val="bottom"/>
            <w:hideMark/>
          </w:tcPr>
          <w:p w14:paraId="3573E42F"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70%</w:t>
            </w:r>
          </w:p>
        </w:tc>
        <w:tc>
          <w:tcPr>
            <w:tcW w:w="1304" w:type="dxa"/>
            <w:tcBorders>
              <w:top w:val="nil"/>
              <w:left w:val="nil"/>
              <w:bottom w:val="nil"/>
              <w:right w:val="nil"/>
            </w:tcBorders>
            <w:shd w:val="clear" w:color="auto" w:fill="auto"/>
            <w:noWrap/>
            <w:vAlign w:val="bottom"/>
            <w:hideMark/>
          </w:tcPr>
          <w:p w14:paraId="3A05C1C1"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17%</w:t>
            </w:r>
          </w:p>
        </w:tc>
      </w:tr>
      <w:tr w:rsidR="003F5F47" w:rsidRPr="003F5F47" w14:paraId="6F4AE3EE" w14:textId="77777777" w:rsidTr="003F5F47">
        <w:trPr>
          <w:trHeight w:val="315"/>
        </w:trPr>
        <w:tc>
          <w:tcPr>
            <w:tcW w:w="2548" w:type="dxa"/>
            <w:tcBorders>
              <w:top w:val="nil"/>
              <w:left w:val="nil"/>
              <w:bottom w:val="nil"/>
              <w:right w:val="nil"/>
            </w:tcBorders>
            <w:shd w:val="clear" w:color="auto" w:fill="auto"/>
            <w:noWrap/>
            <w:vAlign w:val="center"/>
            <w:hideMark/>
          </w:tcPr>
          <w:p w14:paraId="7AE24DB2" w14:textId="77777777" w:rsidR="003F5F47" w:rsidRPr="003F5F47" w:rsidRDefault="003F5F47" w:rsidP="003F5F47">
            <w:pPr>
              <w:spacing w:before="0" w:after="0" w:line="240" w:lineRule="auto"/>
              <w:jc w:val="right"/>
              <w:rPr>
                <w:rFonts w:eastAsia="Times New Roman"/>
                <w:color w:val="000000"/>
                <w:sz w:val="22"/>
              </w:rPr>
            </w:pPr>
            <w:r w:rsidRPr="003F5F47">
              <w:rPr>
                <w:rFonts w:eastAsia="Times New Roman"/>
                <w:color w:val="000000"/>
                <w:sz w:val="22"/>
              </w:rPr>
              <w:t>Prof Learning and Ethics</w:t>
            </w:r>
          </w:p>
        </w:tc>
        <w:tc>
          <w:tcPr>
            <w:tcW w:w="1266" w:type="dxa"/>
            <w:tcBorders>
              <w:top w:val="nil"/>
              <w:left w:val="nil"/>
              <w:bottom w:val="nil"/>
              <w:right w:val="nil"/>
            </w:tcBorders>
            <w:shd w:val="clear" w:color="auto" w:fill="auto"/>
            <w:noWrap/>
            <w:vAlign w:val="center"/>
            <w:hideMark/>
          </w:tcPr>
          <w:p w14:paraId="56CBA019"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InTASC 9</w:t>
            </w:r>
          </w:p>
        </w:tc>
        <w:tc>
          <w:tcPr>
            <w:tcW w:w="1288" w:type="dxa"/>
            <w:tcBorders>
              <w:top w:val="nil"/>
              <w:left w:val="nil"/>
              <w:bottom w:val="nil"/>
              <w:right w:val="nil"/>
            </w:tcBorders>
            <w:shd w:val="clear" w:color="auto" w:fill="auto"/>
            <w:noWrap/>
            <w:vAlign w:val="bottom"/>
            <w:hideMark/>
          </w:tcPr>
          <w:p w14:paraId="5CC9B16D"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23%</w:t>
            </w:r>
          </w:p>
        </w:tc>
        <w:tc>
          <w:tcPr>
            <w:tcW w:w="1156" w:type="dxa"/>
            <w:tcBorders>
              <w:top w:val="nil"/>
              <w:left w:val="nil"/>
              <w:bottom w:val="nil"/>
              <w:right w:val="nil"/>
            </w:tcBorders>
            <w:shd w:val="clear" w:color="auto" w:fill="auto"/>
            <w:noWrap/>
            <w:vAlign w:val="bottom"/>
            <w:hideMark/>
          </w:tcPr>
          <w:p w14:paraId="40A89457"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58%</w:t>
            </w:r>
          </w:p>
        </w:tc>
        <w:tc>
          <w:tcPr>
            <w:tcW w:w="1304" w:type="dxa"/>
            <w:tcBorders>
              <w:top w:val="nil"/>
              <w:left w:val="nil"/>
              <w:bottom w:val="nil"/>
              <w:right w:val="nil"/>
            </w:tcBorders>
            <w:shd w:val="clear" w:color="auto" w:fill="auto"/>
            <w:noWrap/>
            <w:vAlign w:val="bottom"/>
            <w:hideMark/>
          </w:tcPr>
          <w:p w14:paraId="1E4F9D1B"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19%</w:t>
            </w:r>
          </w:p>
        </w:tc>
      </w:tr>
      <w:tr w:rsidR="003F5F47" w:rsidRPr="003F5F47" w14:paraId="7652B7BC" w14:textId="77777777" w:rsidTr="003F5F47">
        <w:trPr>
          <w:trHeight w:val="315"/>
        </w:trPr>
        <w:tc>
          <w:tcPr>
            <w:tcW w:w="2548" w:type="dxa"/>
            <w:tcBorders>
              <w:top w:val="nil"/>
              <w:left w:val="nil"/>
              <w:bottom w:val="single" w:sz="4" w:space="0" w:color="auto"/>
              <w:right w:val="nil"/>
            </w:tcBorders>
            <w:shd w:val="clear" w:color="auto" w:fill="auto"/>
            <w:noWrap/>
            <w:vAlign w:val="center"/>
            <w:hideMark/>
          </w:tcPr>
          <w:p w14:paraId="27171A79" w14:textId="77777777" w:rsidR="003F5F47" w:rsidRPr="003F5F47" w:rsidRDefault="003F5F47" w:rsidP="003F5F47">
            <w:pPr>
              <w:spacing w:before="0" w:after="0" w:line="240" w:lineRule="auto"/>
              <w:jc w:val="right"/>
              <w:rPr>
                <w:rFonts w:eastAsia="Times New Roman"/>
                <w:color w:val="000000"/>
                <w:sz w:val="22"/>
              </w:rPr>
            </w:pPr>
            <w:r w:rsidRPr="003F5F47">
              <w:rPr>
                <w:rFonts w:eastAsia="Times New Roman"/>
                <w:color w:val="000000"/>
                <w:sz w:val="22"/>
              </w:rPr>
              <w:t>Leadership/Collaboration</w:t>
            </w:r>
          </w:p>
        </w:tc>
        <w:tc>
          <w:tcPr>
            <w:tcW w:w="1266" w:type="dxa"/>
            <w:tcBorders>
              <w:top w:val="nil"/>
              <w:left w:val="nil"/>
              <w:bottom w:val="single" w:sz="4" w:space="0" w:color="auto"/>
              <w:right w:val="nil"/>
            </w:tcBorders>
            <w:shd w:val="clear" w:color="auto" w:fill="auto"/>
            <w:noWrap/>
            <w:vAlign w:val="center"/>
            <w:hideMark/>
          </w:tcPr>
          <w:p w14:paraId="3C5F54EC"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InTASC 10</w:t>
            </w:r>
          </w:p>
        </w:tc>
        <w:tc>
          <w:tcPr>
            <w:tcW w:w="1288" w:type="dxa"/>
            <w:tcBorders>
              <w:top w:val="nil"/>
              <w:left w:val="nil"/>
              <w:bottom w:val="single" w:sz="4" w:space="0" w:color="auto"/>
              <w:right w:val="nil"/>
            </w:tcBorders>
            <w:shd w:val="clear" w:color="auto" w:fill="auto"/>
            <w:noWrap/>
            <w:vAlign w:val="bottom"/>
            <w:hideMark/>
          </w:tcPr>
          <w:p w14:paraId="3049A7B8"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39%</w:t>
            </w:r>
          </w:p>
        </w:tc>
        <w:tc>
          <w:tcPr>
            <w:tcW w:w="1156" w:type="dxa"/>
            <w:tcBorders>
              <w:top w:val="nil"/>
              <w:left w:val="nil"/>
              <w:bottom w:val="single" w:sz="4" w:space="0" w:color="auto"/>
              <w:right w:val="nil"/>
            </w:tcBorders>
            <w:shd w:val="clear" w:color="auto" w:fill="auto"/>
            <w:noWrap/>
            <w:vAlign w:val="bottom"/>
            <w:hideMark/>
          </w:tcPr>
          <w:p w14:paraId="14B40A59"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50%</w:t>
            </w:r>
          </w:p>
        </w:tc>
        <w:tc>
          <w:tcPr>
            <w:tcW w:w="1304" w:type="dxa"/>
            <w:tcBorders>
              <w:top w:val="nil"/>
              <w:left w:val="nil"/>
              <w:bottom w:val="single" w:sz="4" w:space="0" w:color="auto"/>
              <w:right w:val="nil"/>
            </w:tcBorders>
            <w:shd w:val="clear" w:color="auto" w:fill="auto"/>
            <w:noWrap/>
            <w:vAlign w:val="bottom"/>
            <w:hideMark/>
          </w:tcPr>
          <w:p w14:paraId="59FDBD44" w14:textId="77777777" w:rsidR="003F5F47" w:rsidRPr="003F5F47" w:rsidRDefault="003F5F47" w:rsidP="003F5F47">
            <w:pPr>
              <w:spacing w:before="0" w:after="0" w:line="240" w:lineRule="auto"/>
              <w:jc w:val="center"/>
              <w:rPr>
                <w:rFonts w:ascii="Calibri" w:eastAsia="Times New Roman" w:hAnsi="Calibri"/>
                <w:color w:val="000000"/>
                <w:sz w:val="22"/>
              </w:rPr>
            </w:pPr>
            <w:r w:rsidRPr="003F5F47">
              <w:rPr>
                <w:rFonts w:ascii="Calibri" w:eastAsia="Times New Roman" w:hAnsi="Calibri"/>
                <w:color w:val="000000"/>
                <w:sz w:val="22"/>
              </w:rPr>
              <w:t>11%</w:t>
            </w:r>
          </w:p>
        </w:tc>
      </w:tr>
      <w:tr w:rsidR="003F5F47" w:rsidRPr="003F5F47" w14:paraId="70CD1813" w14:textId="77777777" w:rsidTr="003F5F47">
        <w:trPr>
          <w:trHeight w:val="300"/>
        </w:trPr>
        <w:tc>
          <w:tcPr>
            <w:tcW w:w="2548" w:type="dxa"/>
            <w:tcBorders>
              <w:top w:val="nil"/>
              <w:left w:val="nil"/>
              <w:bottom w:val="single" w:sz="4" w:space="0" w:color="auto"/>
              <w:right w:val="nil"/>
            </w:tcBorders>
            <w:shd w:val="clear" w:color="auto" w:fill="auto"/>
            <w:noWrap/>
            <w:vAlign w:val="bottom"/>
            <w:hideMark/>
          </w:tcPr>
          <w:p w14:paraId="5E5FA5ED" w14:textId="77777777" w:rsidR="003F5F47" w:rsidRPr="003F5F47" w:rsidRDefault="003F5F47" w:rsidP="003F5F47">
            <w:pPr>
              <w:spacing w:before="0" w:after="0" w:line="240" w:lineRule="auto"/>
              <w:rPr>
                <w:rFonts w:eastAsia="Times New Roman"/>
                <w:color w:val="000000"/>
                <w:sz w:val="22"/>
              </w:rPr>
            </w:pPr>
            <w:r w:rsidRPr="003F5F47">
              <w:rPr>
                <w:rFonts w:eastAsia="Times New Roman"/>
                <w:color w:val="000000"/>
                <w:sz w:val="22"/>
              </w:rPr>
              <w:t> </w:t>
            </w:r>
          </w:p>
        </w:tc>
        <w:tc>
          <w:tcPr>
            <w:tcW w:w="1266" w:type="dxa"/>
            <w:tcBorders>
              <w:top w:val="nil"/>
              <w:left w:val="nil"/>
              <w:bottom w:val="single" w:sz="4" w:space="0" w:color="auto"/>
              <w:right w:val="nil"/>
            </w:tcBorders>
            <w:shd w:val="clear" w:color="auto" w:fill="auto"/>
            <w:noWrap/>
            <w:vAlign w:val="center"/>
            <w:hideMark/>
          </w:tcPr>
          <w:p w14:paraId="166D4E0A"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Average</w:t>
            </w:r>
          </w:p>
        </w:tc>
        <w:tc>
          <w:tcPr>
            <w:tcW w:w="1288" w:type="dxa"/>
            <w:tcBorders>
              <w:top w:val="nil"/>
              <w:left w:val="nil"/>
              <w:bottom w:val="single" w:sz="4" w:space="0" w:color="auto"/>
              <w:right w:val="nil"/>
            </w:tcBorders>
            <w:shd w:val="clear" w:color="auto" w:fill="auto"/>
            <w:noWrap/>
            <w:vAlign w:val="bottom"/>
            <w:hideMark/>
          </w:tcPr>
          <w:p w14:paraId="7A57A068"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23%</w:t>
            </w:r>
          </w:p>
        </w:tc>
        <w:tc>
          <w:tcPr>
            <w:tcW w:w="1156" w:type="dxa"/>
            <w:tcBorders>
              <w:top w:val="nil"/>
              <w:left w:val="nil"/>
              <w:bottom w:val="single" w:sz="4" w:space="0" w:color="auto"/>
              <w:right w:val="nil"/>
            </w:tcBorders>
            <w:shd w:val="clear" w:color="auto" w:fill="auto"/>
            <w:noWrap/>
            <w:vAlign w:val="bottom"/>
            <w:hideMark/>
          </w:tcPr>
          <w:p w14:paraId="0EB1C0A0"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60%</w:t>
            </w:r>
          </w:p>
        </w:tc>
        <w:tc>
          <w:tcPr>
            <w:tcW w:w="1304" w:type="dxa"/>
            <w:tcBorders>
              <w:top w:val="nil"/>
              <w:left w:val="nil"/>
              <w:bottom w:val="single" w:sz="4" w:space="0" w:color="auto"/>
              <w:right w:val="nil"/>
            </w:tcBorders>
            <w:shd w:val="clear" w:color="auto" w:fill="auto"/>
            <w:noWrap/>
            <w:vAlign w:val="bottom"/>
            <w:hideMark/>
          </w:tcPr>
          <w:p w14:paraId="543783EE" w14:textId="77777777" w:rsidR="003F5F47" w:rsidRPr="003F5F47" w:rsidRDefault="003F5F47" w:rsidP="003F5F47">
            <w:pPr>
              <w:spacing w:before="0" w:after="0" w:line="240" w:lineRule="auto"/>
              <w:jc w:val="center"/>
              <w:rPr>
                <w:rFonts w:eastAsia="Times New Roman"/>
                <w:color w:val="000000"/>
                <w:sz w:val="22"/>
              </w:rPr>
            </w:pPr>
            <w:r w:rsidRPr="003F5F47">
              <w:rPr>
                <w:rFonts w:eastAsia="Times New Roman"/>
                <w:color w:val="000000"/>
                <w:sz w:val="22"/>
              </w:rPr>
              <w:t>17%</w:t>
            </w:r>
          </w:p>
        </w:tc>
      </w:tr>
    </w:tbl>
    <w:p w14:paraId="07219036" w14:textId="77777777" w:rsidR="00F8635C" w:rsidRDefault="003F5F47" w:rsidP="003F5F47">
      <w:r>
        <w:t xml:space="preserve">Good to notice is the 83% Exemplary and Proficient combination average and the absence of any Unacceptable responses.  This leaves the Developing qualifier as a point of interest.  Note that Standard 6, Assessment </w:t>
      </w:r>
      <w:r w:rsidR="00F8635C">
        <w:t>re</w:t>
      </w:r>
      <w:r>
        <w:t>surfaces</w:t>
      </w:r>
      <w:r w:rsidR="00F8635C">
        <w:t xml:space="preserve"> again from the STE analysis </w:t>
      </w:r>
      <w:r>
        <w:t xml:space="preserve">as the highest </w:t>
      </w:r>
      <w:r w:rsidR="00F8635C">
        <w:t>Developing frequency standard among all 10 InTASC Standards.</w:t>
      </w:r>
      <w:r>
        <w:t xml:space="preserve">    </w:t>
      </w:r>
      <w:r w:rsidR="00F8635C">
        <w:t xml:space="preserve">In other words the employers noticed the relatively weaker development  of Division graduates in the Assessment Standard 6 as did the mentor teachers and college supervisors.  </w:t>
      </w:r>
    </w:p>
    <w:p w14:paraId="2DA60C1C" w14:textId="77777777" w:rsidR="00F8635C" w:rsidRDefault="00F8635C" w:rsidP="003F5F47">
      <w:r>
        <w:lastRenderedPageBreak/>
        <w:t xml:space="preserve">To pursue this observation a bit further, the Developing percentages for each of the InTASC Standards for both the STE </w:t>
      </w:r>
      <w:r w:rsidR="00A47208">
        <w:t xml:space="preserve">Mentor Teacher </w:t>
      </w:r>
      <w:r>
        <w:t>and employer survey evaluations are contrasted in Chart 7.</w:t>
      </w:r>
    </w:p>
    <w:p w14:paraId="562B5341" w14:textId="77777777" w:rsidR="0031126C" w:rsidRDefault="0031126C" w:rsidP="0056495F">
      <w:r>
        <w:rPr>
          <w:noProof/>
        </w:rPr>
        <w:drawing>
          <wp:inline distT="0" distB="0" distL="0" distR="0" wp14:anchorId="684DA828" wp14:editId="0638E3AC">
            <wp:extent cx="5978105" cy="3700732"/>
            <wp:effectExtent l="0" t="0" r="2286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F5F47">
        <w:br w:type="textWrapping" w:clear="all"/>
      </w:r>
      <w:r>
        <w:t xml:space="preserve">The relationship between the outcomes of the two assessments is remarkable and certainly good enough to gather and analyze annually as this initial analysis certainly suggests the scores from the STE may very well have a good predictive validity of the employers’ scores across the same standards and indicators.  This would provide graduates with the weaknesses and strengths that are likely to also be observed by their future employers unless the graduate secures additional preparation in appropriate areas.  The above chart also shows the standards employers find well developed such as Standards 1, 2,7, and 10.  The identity of these InTASC standards </w:t>
      </w:r>
      <w:r w:rsidR="00A47208">
        <w:t>can be found on the previous page in Table 21.</w:t>
      </w:r>
      <w:r>
        <w:t xml:space="preserve">  </w:t>
      </w:r>
    </w:p>
    <w:p w14:paraId="5725D095" w14:textId="77777777" w:rsidR="00D224F6" w:rsidRPr="00D224F6" w:rsidRDefault="00D224F6" w:rsidP="00EF1A55">
      <w:pPr>
        <w:pStyle w:val="Heading1"/>
        <w:rPr>
          <w:rStyle w:val="Heading2Char"/>
          <w:b/>
        </w:rPr>
      </w:pPr>
      <w:bookmarkStart w:id="51" w:name="_Toc493221904"/>
      <w:r w:rsidRPr="00D224F6">
        <w:rPr>
          <w:rStyle w:val="Heading2Char"/>
          <w:b/>
        </w:rPr>
        <w:t>Native American History and Culture</w:t>
      </w:r>
      <w:bookmarkEnd w:id="51"/>
    </w:p>
    <w:p w14:paraId="60BFDA84" w14:textId="77777777" w:rsidR="00D224F6" w:rsidRPr="00D224F6" w:rsidRDefault="00D224F6" w:rsidP="00D224F6">
      <w:pPr>
        <w:spacing w:before="0" w:after="200"/>
        <w:rPr>
          <w:rFonts w:eastAsiaTheme="majorEastAsia" w:cstheme="majorBidi"/>
          <w:bCs/>
          <w:szCs w:val="26"/>
        </w:rPr>
      </w:pPr>
      <w:r w:rsidRPr="00D224F6">
        <w:rPr>
          <w:rFonts w:eastAsiaTheme="majorEastAsia" w:cstheme="majorBidi"/>
          <w:bCs/>
          <w:szCs w:val="26"/>
        </w:rPr>
        <w:t xml:space="preserve">The crown jewel in the SKC Division of Education's curricula is its conformity with the </w:t>
      </w:r>
      <w:r>
        <w:rPr>
          <w:rFonts w:eastAsiaTheme="majorEastAsia" w:cstheme="majorBidi"/>
          <w:bCs/>
          <w:szCs w:val="26"/>
        </w:rPr>
        <w:t>C</w:t>
      </w:r>
      <w:r w:rsidRPr="00D224F6">
        <w:rPr>
          <w:rFonts w:eastAsiaTheme="majorEastAsia" w:cstheme="majorBidi"/>
          <w:bCs/>
          <w:szCs w:val="26"/>
        </w:rPr>
        <w:t xml:space="preserve">ollege's vision and </w:t>
      </w:r>
      <w:r>
        <w:rPr>
          <w:rFonts w:eastAsiaTheme="majorEastAsia" w:cstheme="majorBidi"/>
          <w:bCs/>
          <w:szCs w:val="26"/>
        </w:rPr>
        <w:t>the D</w:t>
      </w:r>
      <w:r w:rsidRPr="00D224F6">
        <w:rPr>
          <w:rFonts w:eastAsiaTheme="majorEastAsia" w:cstheme="majorBidi"/>
          <w:bCs/>
          <w:szCs w:val="26"/>
        </w:rPr>
        <w:t>ivision's mission; specifically, to preserve the native culture, not limited to being simply a separate body of knowledge to be studied as any given subject might be studied merely for content knowledge, but more importantly, as an understanding of a form of human dignity that exists to be expressed as life itself.</w:t>
      </w:r>
      <w:r w:rsidR="00C02699">
        <w:rPr>
          <w:rFonts w:eastAsiaTheme="majorEastAsia" w:cstheme="majorBidi"/>
          <w:bCs/>
          <w:szCs w:val="26"/>
        </w:rPr>
        <w:t xml:space="preserve">  </w:t>
      </w:r>
    </w:p>
    <w:p w14:paraId="3B2ED37E" w14:textId="77777777" w:rsidR="00D224F6" w:rsidRPr="00D224F6" w:rsidRDefault="00D224F6" w:rsidP="00D224F6">
      <w:pPr>
        <w:spacing w:before="0" w:after="200"/>
        <w:rPr>
          <w:rFonts w:eastAsiaTheme="majorEastAsia" w:cstheme="majorBidi"/>
          <w:bCs/>
          <w:szCs w:val="26"/>
        </w:rPr>
      </w:pPr>
      <w:r w:rsidRPr="00D224F6">
        <w:rPr>
          <w:rFonts w:eastAsiaTheme="majorEastAsia" w:cstheme="majorBidi"/>
          <w:bCs/>
          <w:szCs w:val="26"/>
        </w:rPr>
        <w:t xml:space="preserve">As alluded to earlier in </w:t>
      </w:r>
      <w:r w:rsidR="00CD22CE">
        <w:rPr>
          <w:rFonts w:eastAsiaTheme="majorEastAsia" w:cstheme="majorBidi"/>
          <w:bCs/>
          <w:szCs w:val="26"/>
        </w:rPr>
        <w:t>the TPT assessments</w:t>
      </w:r>
      <w:r w:rsidRPr="00D224F6">
        <w:rPr>
          <w:rFonts w:eastAsiaTheme="majorEastAsia" w:cstheme="majorBidi"/>
          <w:bCs/>
          <w:szCs w:val="26"/>
        </w:rPr>
        <w:t>, there is very good evidence the</w:t>
      </w:r>
      <w:r w:rsidR="00CD22CE">
        <w:rPr>
          <w:rFonts w:eastAsiaTheme="majorEastAsia" w:cstheme="majorBidi"/>
          <w:bCs/>
          <w:szCs w:val="26"/>
        </w:rPr>
        <w:t xml:space="preserve"> Division has successfully integrated specific qualities, for example, the 4Cs, into its curricula as an integral part of the whole curricula.  Preserving </w:t>
      </w:r>
      <w:r w:rsidRPr="00D224F6">
        <w:rPr>
          <w:rFonts w:eastAsiaTheme="majorEastAsia" w:cstheme="majorBidi"/>
          <w:bCs/>
          <w:szCs w:val="26"/>
        </w:rPr>
        <w:t>native culture and understandings</w:t>
      </w:r>
      <w:r w:rsidR="00CD22CE">
        <w:rPr>
          <w:rFonts w:eastAsiaTheme="majorEastAsia" w:cstheme="majorBidi"/>
          <w:bCs/>
          <w:szCs w:val="26"/>
        </w:rPr>
        <w:t>, while taught as a specific class,</w:t>
      </w:r>
      <w:r w:rsidRPr="00D224F6">
        <w:rPr>
          <w:rFonts w:eastAsiaTheme="majorEastAsia" w:cstheme="majorBidi"/>
          <w:bCs/>
          <w:szCs w:val="26"/>
        </w:rPr>
        <w:t xml:space="preserve"> are </w:t>
      </w:r>
      <w:r w:rsidR="00CD22CE">
        <w:rPr>
          <w:rFonts w:eastAsiaTheme="majorEastAsia" w:cstheme="majorBidi"/>
          <w:bCs/>
          <w:szCs w:val="26"/>
        </w:rPr>
        <w:t xml:space="preserve">also </w:t>
      </w:r>
      <w:r w:rsidRPr="00D224F6">
        <w:rPr>
          <w:rFonts w:eastAsiaTheme="majorEastAsia" w:cstheme="majorBidi"/>
          <w:bCs/>
          <w:szCs w:val="26"/>
        </w:rPr>
        <w:t xml:space="preserve">successfully </w:t>
      </w:r>
      <w:r w:rsidR="00CD22CE">
        <w:rPr>
          <w:rFonts w:eastAsiaTheme="majorEastAsia" w:cstheme="majorBidi"/>
          <w:bCs/>
          <w:szCs w:val="26"/>
        </w:rPr>
        <w:t>integrated</w:t>
      </w:r>
      <w:r w:rsidRPr="00D224F6">
        <w:rPr>
          <w:rFonts w:eastAsiaTheme="majorEastAsia" w:cstheme="majorBidi"/>
          <w:bCs/>
          <w:szCs w:val="26"/>
        </w:rPr>
        <w:t xml:space="preserve"> throughout the whole curricula offered by the </w:t>
      </w:r>
      <w:r w:rsidR="00CD22CE">
        <w:rPr>
          <w:rFonts w:eastAsiaTheme="majorEastAsia" w:cstheme="majorBidi"/>
          <w:bCs/>
          <w:szCs w:val="26"/>
        </w:rPr>
        <w:t>D</w:t>
      </w:r>
      <w:r w:rsidRPr="00D224F6">
        <w:rPr>
          <w:rFonts w:eastAsiaTheme="majorEastAsia" w:cstheme="majorBidi"/>
          <w:bCs/>
          <w:szCs w:val="26"/>
        </w:rPr>
        <w:t>ivision.  However, one assessment</w:t>
      </w:r>
      <w:r w:rsidR="00CD22CE">
        <w:rPr>
          <w:rFonts w:eastAsiaTheme="majorEastAsia" w:cstheme="majorBidi"/>
          <w:bCs/>
          <w:szCs w:val="26"/>
        </w:rPr>
        <w:t xml:space="preserve"> is available for this analysis that </w:t>
      </w:r>
      <w:r w:rsidRPr="00D224F6">
        <w:rPr>
          <w:rFonts w:eastAsiaTheme="majorEastAsia" w:cstheme="majorBidi"/>
          <w:bCs/>
          <w:szCs w:val="26"/>
        </w:rPr>
        <w:t xml:space="preserve">directly gathers data regarding a basic level of knowledge </w:t>
      </w:r>
      <w:r w:rsidRPr="00D224F6">
        <w:rPr>
          <w:rFonts w:eastAsiaTheme="majorEastAsia" w:cstheme="majorBidi"/>
          <w:bCs/>
          <w:szCs w:val="26"/>
        </w:rPr>
        <w:lastRenderedPageBreak/>
        <w:t xml:space="preserve">regarding the native history and culture.  Specifically the assessment is </w:t>
      </w:r>
      <w:r w:rsidRPr="00D224F6">
        <w:rPr>
          <w:rFonts w:eastAsiaTheme="majorEastAsia" w:cstheme="majorBidi"/>
          <w:bCs/>
          <w:i/>
          <w:szCs w:val="26"/>
        </w:rPr>
        <w:t>The</w:t>
      </w:r>
      <w:r w:rsidRPr="00D224F6">
        <w:rPr>
          <w:rFonts w:eastAsiaTheme="majorEastAsia" w:cstheme="majorBidi"/>
          <w:b/>
          <w:bCs/>
          <w:i/>
          <w:szCs w:val="26"/>
        </w:rPr>
        <w:t xml:space="preserve"> </w:t>
      </w:r>
      <w:r w:rsidRPr="00D224F6">
        <w:rPr>
          <w:rFonts w:eastAsiaTheme="majorEastAsia" w:cstheme="majorBidi"/>
          <w:bCs/>
          <w:i/>
          <w:szCs w:val="26"/>
        </w:rPr>
        <w:t xml:space="preserve">Conceptual Knowledge for IEFA Integration Assessment </w:t>
      </w:r>
      <w:r w:rsidRPr="00D224F6">
        <w:rPr>
          <w:rFonts w:eastAsiaTheme="majorEastAsia" w:cstheme="majorBidi"/>
          <w:bCs/>
          <w:szCs w:val="26"/>
        </w:rPr>
        <w:t>(</w:t>
      </w:r>
      <w:proofErr w:type="spellStart"/>
      <w:r w:rsidRPr="00D224F6">
        <w:rPr>
          <w:rFonts w:eastAsiaTheme="majorEastAsia" w:cstheme="majorBidi"/>
          <w:bCs/>
          <w:szCs w:val="26"/>
        </w:rPr>
        <w:t>Elser</w:t>
      </w:r>
      <w:proofErr w:type="spellEnd"/>
      <w:r w:rsidRPr="00D224F6">
        <w:rPr>
          <w:rFonts w:eastAsiaTheme="majorEastAsia" w:cstheme="majorBidi"/>
          <w:bCs/>
          <w:szCs w:val="26"/>
        </w:rPr>
        <w:t xml:space="preserve">, 2012) , which assesses students' knowledge of IEFA including Tribes, Reservations, Essential Understandings, knowledge of culturally responsive practice, and the intent of MCA 20-1-501.  This assessment is given at the beginning and again at the end of several classes throughout the </w:t>
      </w:r>
      <w:r w:rsidR="00CD22CE">
        <w:rPr>
          <w:rFonts w:eastAsiaTheme="majorEastAsia" w:cstheme="majorBidi"/>
          <w:bCs/>
          <w:szCs w:val="26"/>
        </w:rPr>
        <w:t>P</w:t>
      </w:r>
      <w:r w:rsidRPr="00D224F6">
        <w:rPr>
          <w:rFonts w:eastAsiaTheme="majorEastAsia" w:cstheme="majorBidi"/>
          <w:bCs/>
          <w:szCs w:val="26"/>
        </w:rPr>
        <w:t xml:space="preserve">reparation </w:t>
      </w:r>
      <w:r w:rsidR="00CD22CE">
        <w:rPr>
          <w:rFonts w:eastAsiaTheme="majorEastAsia" w:cstheme="majorBidi"/>
          <w:bCs/>
          <w:szCs w:val="26"/>
        </w:rPr>
        <w:t>P</w:t>
      </w:r>
      <w:r w:rsidRPr="00D224F6">
        <w:rPr>
          <w:rFonts w:eastAsiaTheme="majorEastAsia" w:cstheme="majorBidi"/>
          <w:bCs/>
          <w:szCs w:val="26"/>
        </w:rPr>
        <w:t>rogram</w:t>
      </w:r>
      <w:r w:rsidR="00C02699">
        <w:rPr>
          <w:rFonts w:eastAsiaTheme="majorEastAsia" w:cstheme="majorBidi"/>
          <w:bCs/>
          <w:szCs w:val="26"/>
        </w:rPr>
        <w:t xml:space="preserve"> and serves in part to </w:t>
      </w:r>
      <w:r w:rsidR="00B644FF">
        <w:rPr>
          <w:rFonts w:eastAsiaTheme="majorEastAsia" w:cstheme="majorBidi"/>
          <w:bCs/>
          <w:szCs w:val="26"/>
        </w:rPr>
        <w:t>fulfill</w:t>
      </w:r>
      <w:r w:rsidR="00C02699">
        <w:rPr>
          <w:rFonts w:eastAsiaTheme="majorEastAsia" w:cstheme="majorBidi"/>
          <w:bCs/>
          <w:szCs w:val="26"/>
        </w:rPr>
        <w:t xml:space="preserve"> the 11</w:t>
      </w:r>
      <w:r w:rsidR="00C02699" w:rsidRPr="00C02699">
        <w:rPr>
          <w:rFonts w:eastAsiaTheme="majorEastAsia" w:cstheme="majorBidi"/>
          <w:bCs/>
          <w:szCs w:val="26"/>
          <w:vertAlign w:val="superscript"/>
        </w:rPr>
        <w:t>th</w:t>
      </w:r>
      <w:r w:rsidR="00C02699">
        <w:rPr>
          <w:rFonts w:eastAsiaTheme="majorEastAsia" w:cstheme="majorBidi"/>
          <w:bCs/>
          <w:szCs w:val="26"/>
        </w:rPr>
        <w:t xml:space="preserve"> 501 </w:t>
      </w:r>
      <w:r w:rsidR="00B644FF">
        <w:rPr>
          <w:rFonts w:eastAsiaTheme="majorEastAsia" w:cstheme="majorBidi"/>
          <w:bCs/>
          <w:szCs w:val="26"/>
        </w:rPr>
        <w:t xml:space="preserve">Montana </w:t>
      </w:r>
      <w:r w:rsidR="00C02699">
        <w:rPr>
          <w:rFonts w:eastAsiaTheme="majorEastAsia" w:cstheme="majorBidi"/>
          <w:bCs/>
          <w:szCs w:val="26"/>
        </w:rPr>
        <w:t>Teaching Standard</w:t>
      </w:r>
      <w:r w:rsidRPr="00D224F6">
        <w:rPr>
          <w:rFonts w:eastAsiaTheme="majorEastAsia" w:cstheme="majorBidi"/>
          <w:bCs/>
          <w:szCs w:val="26"/>
        </w:rPr>
        <w:t>.</w:t>
      </w:r>
      <w:r>
        <w:rPr>
          <w:rFonts w:eastAsiaTheme="majorEastAsia" w:cstheme="majorBidi"/>
          <w:bCs/>
          <w:szCs w:val="26"/>
        </w:rPr>
        <w:t xml:space="preserve">  </w:t>
      </w:r>
    </w:p>
    <w:p w14:paraId="0E7464F0" w14:textId="77777777" w:rsidR="00D224F6" w:rsidRDefault="00D224F6" w:rsidP="00DF07C3">
      <w:r>
        <w:t>The assessment</w:t>
      </w:r>
      <w:r w:rsidR="006C5015">
        <w:t xml:space="preserve"> scores from 0 to 35 and</w:t>
      </w:r>
      <w:r>
        <w:t xml:space="preserve"> </w:t>
      </w:r>
      <w:r w:rsidR="006C5015">
        <w:t xml:space="preserve">consists of geographical knowledge of Montana Indian tribes, reservations, and Essential Understandings.  </w:t>
      </w:r>
      <w:r>
        <w:t xml:space="preserve">The administration of this assessment is relatively new to the Division; however, there are available </w:t>
      </w:r>
      <w:r w:rsidR="006C5015">
        <w:t xml:space="preserve">for this analysis </w:t>
      </w:r>
      <w:r>
        <w:t xml:space="preserve">the </w:t>
      </w:r>
      <w:r w:rsidRPr="00D224F6">
        <w:t xml:space="preserve">Pre and post data </w:t>
      </w:r>
      <w:r>
        <w:t>for 11 students.  The data and the associated gains</w:t>
      </w:r>
      <w:r w:rsidR="006C5015">
        <w:t xml:space="preserve"> from this assessment</w:t>
      </w:r>
      <w:r>
        <w:t xml:space="preserve"> are presented below in Chart 8.</w:t>
      </w:r>
    </w:p>
    <w:p w14:paraId="22510EB3" w14:textId="77777777" w:rsidR="00DF07C3" w:rsidRDefault="00DF07C3" w:rsidP="00DF07C3"/>
    <w:p w14:paraId="1AADB5C2" w14:textId="77777777" w:rsidR="00DF07C3" w:rsidRDefault="000957BB" w:rsidP="00DF07C3">
      <w:pPr>
        <w:jc w:val="center"/>
      </w:pPr>
      <w:r>
        <w:rPr>
          <w:noProof/>
        </w:rPr>
        <w:drawing>
          <wp:inline distT="0" distB="0" distL="0" distR="0" wp14:anchorId="4F82E87E" wp14:editId="6C1E0DA7">
            <wp:extent cx="5788325" cy="3554083"/>
            <wp:effectExtent l="0" t="0" r="22225" b="279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2286F5" w14:textId="77777777" w:rsidR="005B3EF7" w:rsidRPr="00DF07C3" w:rsidRDefault="005B3EF7" w:rsidP="00DF07C3">
      <w:pPr>
        <w:rPr>
          <w:sz w:val="16"/>
          <w:szCs w:val="16"/>
        </w:rPr>
      </w:pPr>
      <w:r>
        <w:rPr>
          <w:szCs w:val="24"/>
        </w:rPr>
        <w:t xml:space="preserve">The pretest scores (blue) are as might be expected; however, the post-test scores (reddish) are remarkably the same and all with perfect scores of 35 points.  The green bars represent the gain each student achieved between pre and post-tests. </w:t>
      </w:r>
      <w:r w:rsidR="005B5E26">
        <w:rPr>
          <w:szCs w:val="24"/>
        </w:rPr>
        <w:t xml:space="preserve"> Clearly this material is being presented in a manner conducive to at least this random group of</w:t>
      </w:r>
      <w:r w:rsidR="0014349E">
        <w:rPr>
          <w:szCs w:val="24"/>
        </w:rPr>
        <w:t xml:space="preserve"> education</w:t>
      </w:r>
      <w:r w:rsidR="005B5E26">
        <w:rPr>
          <w:szCs w:val="24"/>
        </w:rPr>
        <w:t xml:space="preserve"> students.  This assessment will have substantially more data when the next accreditation review is held.</w:t>
      </w:r>
    </w:p>
    <w:p w14:paraId="68A0104F" w14:textId="77777777" w:rsidR="00DF07C3" w:rsidRDefault="00DF07C3" w:rsidP="00EF1A55">
      <w:pPr>
        <w:pStyle w:val="Heading1"/>
      </w:pPr>
      <w:bookmarkStart w:id="52" w:name="_Toc493221905"/>
      <w:r>
        <w:t>Summary</w:t>
      </w:r>
      <w:bookmarkEnd w:id="52"/>
    </w:p>
    <w:p w14:paraId="5F9EA673" w14:textId="77777777" w:rsidR="00391DD7" w:rsidRDefault="00391DD7" w:rsidP="00DF07C3">
      <w:r>
        <w:t xml:space="preserve">Given the abundance and distribution of </w:t>
      </w:r>
      <w:r w:rsidRPr="00484377">
        <w:rPr>
          <w:b/>
        </w:rPr>
        <w:t>InTASC</w:t>
      </w:r>
      <w:r>
        <w:t xml:space="preserve"> assessment indicators as well as the volume of data and proportionate distribution throughout the entire </w:t>
      </w:r>
      <w:r w:rsidR="002025E6">
        <w:t>Preparation Program</w:t>
      </w:r>
      <w:r>
        <w:t xml:space="preserve"> gathered, it is clear the construct of the assessment plan has ample capacity to provide the necessary validity to ensure viable content and face validities that ultimately support a good predictive validity.  The quality of these three </w:t>
      </w:r>
      <w:r>
        <w:lastRenderedPageBreak/>
        <w:t xml:space="preserve">validities is certainly strengthened by the fact all SKC Division of Education teacher graduates this year either </w:t>
      </w:r>
      <w:r w:rsidR="00CB03A3">
        <w:t xml:space="preserve">had </w:t>
      </w:r>
      <w:r>
        <w:t xml:space="preserve">contracts in hand or verbal offers to teach five weeks prior to their graduation! </w:t>
      </w:r>
    </w:p>
    <w:p w14:paraId="64647E5D" w14:textId="77777777" w:rsidR="00391DD7" w:rsidRDefault="00CB03A3" w:rsidP="00391DD7">
      <w:r>
        <w:t xml:space="preserve">The ranking of the InTASC standards provides a general overview of the degree to which the standards are being acquired by students and candidates in the </w:t>
      </w:r>
      <w:r w:rsidR="002025E6">
        <w:t>Preparation Program</w:t>
      </w:r>
      <w:r>
        <w:t>.</w:t>
      </w:r>
      <w:r w:rsidR="00DA0E2F">
        <w:t xml:space="preserve">  In general, a strong percentage of the students/candidates have increasing Exemplary/Proficient scores as they progress through the three stages while Developing percentages decrease.  As noted, there </w:t>
      </w:r>
      <w:r w:rsidR="00F445E4">
        <w:t>wa</w:t>
      </w:r>
      <w:r w:rsidR="00DA0E2F">
        <w:t xml:space="preserve">s an exception or two where Developing </w:t>
      </w:r>
      <w:r w:rsidR="00F445E4">
        <w:t>responses</w:t>
      </w:r>
      <w:r w:rsidR="00DA0E2F">
        <w:t xml:space="preserve"> </w:t>
      </w:r>
      <w:r w:rsidR="00F445E4">
        <w:t xml:space="preserve">increase in number as the </w:t>
      </w:r>
      <w:r w:rsidR="002025E6">
        <w:t>Preparation Program</w:t>
      </w:r>
      <w:r w:rsidR="00F445E4">
        <w:t xml:space="preserve"> progresses</w:t>
      </w:r>
      <w:r w:rsidR="006D5B8B">
        <w:t xml:space="preserve">.  </w:t>
      </w:r>
      <w:r w:rsidR="00391DD7">
        <w:t>It would be very interesting to see if non tribal colleges would have Learning Differences as the highest ranked standard</w:t>
      </w:r>
      <w:r>
        <w:t xml:space="preserve"> at the Exemplary ranking</w:t>
      </w:r>
      <w:r w:rsidR="00391DD7">
        <w:t>.</w:t>
      </w:r>
    </w:p>
    <w:p w14:paraId="7E50A7E6" w14:textId="77777777" w:rsidR="000957BB" w:rsidRDefault="00593643" w:rsidP="000957BB">
      <w:r>
        <w:t xml:space="preserve">The </w:t>
      </w:r>
      <w:r w:rsidRPr="00484377">
        <w:rPr>
          <w:b/>
        </w:rPr>
        <w:t>RWAs</w:t>
      </w:r>
      <w:r>
        <w:t xml:space="preserve"> serve a vital role in the assessment of a student/candidate’s preparation for a career as a professional teacher.  One of the</w:t>
      </w:r>
      <w:r w:rsidR="006D5B8B">
        <w:t xml:space="preserve"> RWAs’</w:t>
      </w:r>
      <w:r>
        <w:t xml:space="preserve"> most valuable qualities is they cover all of the InTASC Standards, providing a common form of assessment with multiple iterations across all 10 standards.</w:t>
      </w:r>
      <w:r w:rsidR="006D5B8B">
        <w:t xml:space="preserve">  RWA scores tend to have uniform improvement among all students as they progress through the three Stages.  Two InTASC Standards </w:t>
      </w:r>
      <w:r w:rsidR="00F445E4">
        <w:t xml:space="preserve">found to </w:t>
      </w:r>
      <w:r w:rsidR="006D5B8B">
        <w:t>need a bit more attention are</w:t>
      </w:r>
      <w:r w:rsidR="00DC6621">
        <w:t xml:space="preserve"> Standard 3</w:t>
      </w:r>
      <w:r w:rsidR="006D5B8B">
        <w:t xml:space="preserve"> (Learning Environment) and </w:t>
      </w:r>
      <w:r w:rsidR="00DC6621">
        <w:t>Standard 1</w:t>
      </w:r>
      <w:r w:rsidR="006D5B8B">
        <w:t xml:space="preserve">0 (Leadership and Collaboration). </w:t>
      </w:r>
      <w:r>
        <w:t xml:space="preserve"> </w:t>
      </w:r>
      <w:r w:rsidR="00DC6621">
        <w:t>Both of these standards will surface again from the perspective of other assessment forms.</w:t>
      </w:r>
      <w:r w:rsidR="00F445E4">
        <w:t xml:space="preserve">  Finally and most notable of all is the high academic level achieved by the end of the program.</w:t>
      </w:r>
    </w:p>
    <w:p w14:paraId="774614E4" w14:textId="77777777" w:rsidR="00F445E4" w:rsidRDefault="00F445E4" w:rsidP="00484377">
      <w:r w:rsidRPr="00484377">
        <w:rPr>
          <w:b/>
        </w:rPr>
        <w:t xml:space="preserve">MACK </w:t>
      </w:r>
      <w:r>
        <w:t xml:space="preserve">scores were found to be exceptionally </w:t>
      </w:r>
      <w:proofErr w:type="gramStart"/>
      <w:r>
        <w:t>strong .</w:t>
      </w:r>
      <w:proofErr w:type="gramEnd"/>
      <w:r>
        <w:t xml:space="preserve">  The TEP GPA score displayed an interesting </w:t>
      </w:r>
      <w:r w:rsidR="00E716DA">
        <w:t>characteristic in that as the program progressed, there were fewer 4.0s yet the average GPA increased.  This suggests the average GPA is supported by increasing achievement across the student body rather than a dependency upon a few students to earn 4.0s.</w:t>
      </w:r>
    </w:p>
    <w:p w14:paraId="569C7639" w14:textId="77777777" w:rsidR="00E716DA" w:rsidRDefault="00E716DA" w:rsidP="00484377">
      <w:r>
        <w:t>The Student Teaching Evaluations regarding content knowledge w</w:t>
      </w:r>
      <w:r w:rsidR="005D4B7B">
        <w:t>ere</w:t>
      </w:r>
      <w:r>
        <w:t xml:space="preserve"> exceptionally good.  Practicing teachers find the candidates are very well prepared in content knowledge, which reflects quite favorably upon the content and face validities of the program.</w:t>
      </w:r>
    </w:p>
    <w:p w14:paraId="4B704B3D" w14:textId="77777777" w:rsidR="00484377" w:rsidRDefault="00E716DA" w:rsidP="00484377">
      <w:r>
        <w:t xml:space="preserve">Finally the </w:t>
      </w:r>
      <w:r w:rsidRPr="00B85349">
        <w:rPr>
          <w:b/>
        </w:rPr>
        <w:t>PRAXIS II</w:t>
      </w:r>
      <w:r>
        <w:t xml:space="preserve"> scores that comprise the third element of the MACK score continues to be a problem for many of the candidates, although a reasonable percentage of the students do well on it.  There are many explanations for why </w:t>
      </w:r>
      <w:r w:rsidR="003A284F">
        <w:t>Division</w:t>
      </w:r>
      <w:r w:rsidR="005D4B7B">
        <w:t xml:space="preserve"> candidates have difficulties with standardized tests normed for a much different population of students; however, this challenge has to be met and the scoring methodology for the MACK score provides two other forms of assessment to help support a weaker PRAXIS II score, which has resulted in 91% of the candidates received the </w:t>
      </w:r>
      <w:r w:rsidR="003A284F">
        <w:t>Division</w:t>
      </w:r>
      <w:r w:rsidR="005D4B7B">
        <w:t xml:space="preserve">’s recommendation for licensure.  </w:t>
      </w:r>
    </w:p>
    <w:p w14:paraId="2E033788" w14:textId="77777777" w:rsidR="005D4B7B" w:rsidRDefault="00F03EC1" w:rsidP="00484377">
      <w:r>
        <w:t xml:space="preserve">The </w:t>
      </w:r>
      <w:r w:rsidRPr="00484377">
        <w:rPr>
          <w:b/>
        </w:rPr>
        <w:t xml:space="preserve">TPT </w:t>
      </w:r>
      <w:r>
        <w:t xml:space="preserve">scores regarding the 4Cs </w:t>
      </w:r>
      <w:r w:rsidR="00B85349">
        <w:t>are</w:t>
      </w:r>
      <w:r>
        <w:t xml:space="preserve"> amazing.  The initial scores are quite weak; however, the final scores are exceptionally strong.  Once again, this not only speaks to the capacity of the </w:t>
      </w:r>
      <w:r w:rsidR="003A284F">
        <w:t>Division</w:t>
      </w:r>
      <w:r>
        <w:t xml:space="preserve"> to bring students from typical levels of performance to quite high levels, but this also points to the universality by which the </w:t>
      </w:r>
      <w:r w:rsidR="003A284F">
        <w:t>Division</w:t>
      </w:r>
      <w:r>
        <w:t xml:space="preserve"> integrates educational  performance objectives and goals into both the direct curricula and also the indirect or hidden curricula.</w:t>
      </w:r>
      <w:r w:rsidR="00484377">
        <w:t xml:space="preserve"> </w:t>
      </w:r>
    </w:p>
    <w:p w14:paraId="4C76241D" w14:textId="77777777" w:rsidR="00B85349" w:rsidRDefault="00484377" w:rsidP="00484377">
      <w:r>
        <w:t xml:space="preserve">The </w:t>
      </w:r>
      <w:r w:rsidRPr="00B85349">
        <w:rPr>
          <w:b/>
        </w:rPr>
        <w:t>STE</w:t>
      </w:r>
      <w:r>
        <w:t xml:space="preserve"> scores were excellent.  Once again, high scoring students end up scoring even higher while initially lower scoring students end up scoring as well as their higher scoring peers</w:t>
      </w:r>
      <w:r w:rsidR="00FD1968">
        <w:t xml:space="preserve"> (see Chart 4, </w:t>
      </w:r>
      <w:proofErr w:type="spellStart"/>
      <w:r w:rsidR="00FD1968">
        <w:t>Pg</w:t>
      </w:r>
      <w:proofErr w:type="spellEnd"/>
      <w:r w:rsidR="00FD1968">
        <w:t xml:space="preserve"> 22)</w:t>
      </w:r>
      <w:r>
        <w:t xml:space="preserve">. This strongly indicates that regardless of how well prepared a candidate was initially, their preparation </w:t>
      </w:r>
      <w:r>
        <w:lastRenderedPageBreak/>
        <w:t>had fostered in each of them the capacity to reach a high level of preparation for and during their student teaching experiences as well as for severing a professional teacher upon graduation.</w:t>
      </w:r>
    </w:p>
    <w:p w14:paraId="6B543FDA" w14:textId="77777777" w:rsidR="00FD1968" w:rsidRDefault="00B85349" w:rsidP="00484377">
      <w:r>
        <w:t xml:space="preserve">The STE evaluation is particularly useful in reflecting the validity of the curricula and faculty who deliver </w:t>
      </w:r>
      <w:r w:rsidR="00FD1968">
        <w:t>those curricula</w:t>
      </w:r>
      <w:r>
        <w:t xml:space="preserve"> given it provides (a) </w:t>
      </w:r>
      <w:r w:rsidR="00B6094E">
        <w:t xml:space="preserve">pre-post </w:t>
      </w:r>
      <w:r>
        <w:t>data and (b</w:t>
      </w:r>
      <w:r w:rsidR="00B6094E">
        <w:t>)</w:t>
      </w:r>
      <w:r>
        <w:t xml:space="preserve"> an opportunity to compare the judgment </w:t>
      </w:r>
      <w:r w:rsidR="00FD1968">
        <w:t xml:space="preserve">the practicing teacher in the field </w:t>
      </w:r>
      <w:r w:rsidR="00B6094E">
        <w:t xml:space="preserve">regarding the quality </w:t>
      </w:r>
      <w:r>
        <w:t xml:space="preserve">of </w:t>
      </w:r>
      <w:r w:rsidR="00B6094E">
        <w:t>the Division candidates</w:t>
      </w:r>
      <w:r w:rsidR="00FD1968">
        <w:t>’</w:t>
      </w:r>
      <w:r w:rsidR="00B6094E">
        <w:t xml:space="preserve"> preparation</w:t>
      </w:r>
      <w:r>
        <w:t xml:space="preserve"> with the judgment of a person associated with the college.  </w:t>
      </w:r>
      <w:r w:rsidR="0086743C">
        <w:t xml:space="preserve">The college supervisor initially tended to have more Developing responses than the </w:t>
      </w:r>
      <w:r>
        <w:t>mentor teacher</w:t>
      </w:r>
      <w:r w:rsidR="0086743C">
        <w:t xml:space="preserve"> indicating the mentor teacher typically viewed more of the candidates as proficient than did the college supervisor.  </w:t>
      </w:r>
      <w:r>
        <w:t xml:space="preserve">This finding confirms the validity of what students were promised (face validity), the validity of what and how they were prepared (content validity), and given both of these, the judgment of the </w:t>
      </w:r>
      <w:r w:rsidR="002025E6">
        <w:t>Preparation Program</w:t>
      </w:r>
      <w:r>
        <w:t xml:space="preserve"> personnel serves as a </w:t>
      </w:r>
      <w:r w:rsidR="00B6094E">
        <w:t>predictor</w:t>
      </w:r>
      <w:r>
        <w:t xml:space="preserve"> (predictive validity)</w:t>
      </w:r>
      <w:r w:rsidR="00FD1968">
        <w:t>.  In other words, the Division faculty promises a specific education and delivers that promise to the degree the purpose of the promise is fulfilled.</w:t>
      </w:r>
    </w:p>
    <w:p w14:paraId="1A228DCD" w14:textId="77777777" w:rsidR="0086743C" w:rsidRDefault="0086743C" w:rsidP="00484377">
      <w:r>
        <w:t xml:space="preserve">The STE data were further analyzed in more detail, leading to the conclusion that half of the InTASC  Standards are viewed at mid-term as having been proficiently demonstrated, two are somewhat less developed in a couple of subcomponents of the Standards, and three are more troublesome.  </w:t>
      </w:r>
    </w:p>
    <w:p w14:paraId="3AA6B1D6" w14:textId="77777777" w:rsidR="00597CA4" w:rsidRDefault="00597CA4" w:rsidP="00597CA4">
      <w:r w:rsidRPr="00773DB0">
        <w:t xml:space="preserve">When the 19 indicators </w:t>
      </w:r>
      <w:r>
        <w:t xml:space="preserve">having excessive numbers of Developing at the mid-term assessment were conceptually examined, it appeared an argument could be made that </w:t>
      </w:r>
      <w:r w:rsidRPr="00773DB0">
        <w:t>14 (74%)</w:t>
      </w:r>
      <w:r>
        <w:t xml:space="preserve"> of them</w:t>
      </w:r>
      <w:r w:rsidRPr="00773DB0">
        <w:t xml:space="preserve">  dealt in one way or another with learning differences and two more dealt with assessment.  Given assessment is quite closely related to working with learning differences, 84% of the high levels of Developing responses dealt with the area of differentiated learning abilities</w:t>
      </w:r>
      <w:r>
        <w:t xml:space="preserve"> while the remaining area of concern was the learning environment.</w:t>
      </w:r>
    </w:p>
    <w:p w14:paraId="280139B5" w14:textId="77777777" w:rsidR="0039495A" w:rsidRDefault="00597CA4" w:rsidP="003E0B68">
      <w:r>
        <w:t xml:space="preserve">A number of </w:t>
      </w:r>
      <w:r w:rsidRPr="002910B0">
        <w:rPr>
          <w:b/>
        </w:rPr>
        <w:t>surveys</w:t>
      </w:r>
      <w:r>
        <w:t xml:space="preserve"> were distributed and as always, there tends</w:t>
      </w:r>
      <w:r w:rsidR="0039495A">
        <w:t xml:space="preserve"> to be difficulty in having some of them compl</w:t>
      </w:r>
      <w:r w:rsidR="003E0B68">
        <w:t>et</w:t>
      </w:r>
      <w:r w:rsidR="0039495A">
        <w:t>ed and returned.  Nevertheless, there were f</w:t>
      </w:r>
      <w:r w:rsidR="00C343D3">
        <w:t>ive</w:t>
      </w:r>
      <w:r w:rsidR="0039495A">
        <w:t xml:space="preserve"> surveys for which data were available, specifically, </w:t>
      </w:r>
      <w:r w:rsidR="00C343D3">
        <w:t xml:space="preserve">the </w:t>
      </w:r>
      <w:r w:rsidR="0039495A" w:rsidRPr="00C343D3">
        <w:rPr>
          <w:rStyle w:val="Heading2Char"/>
          <w:b w:val="0"/>
          <w:szCs w:val="24"/>
        </w:rPr>
        <w:t xml:space="preserve">SKC Teacher Education Program Exit </w:t>
      </w:r>
      <w:proofErr w:type="gramStart"/>
      <w:r w:rsidR="0039495A" w:rsidRPr="00C343D3">
        <w:rPr>
          <w:rStyle w:val="Heading2Char"/>
          <w:b w:val="0"/>
          <w:szCs w:val="24"/>
        </w:rPr>
        <w:t>Survey;</w:t>
      </w:r>
      <w:r w:rsidR="003E0B68">
        <w:rPr>
          <w:rStyle w:val="Heading2Char"/>
          <w:szCs w:val="24"/>
        </w:rPr>
        <w:t xml:space="preserve"> </w:t>
      </w:r>
      <w:r w:rsidR="0039495A" w:rsidRPr="0039495A">
        <w:rPr>
          <w:szCs w:val="24"/>
        </w:rPr>
        <w:t xml:space="preserve"> </w:t>
      </w:r>
      <w:r w:rsidR="00C343D3">
        <w:rPr>
          <w:szCs w:val="24"/>
        </w:rPr>
        <w:t>the</w:t>
      </w:r>
      <w:proofErr w:type="gramEnd"/>
      <w:r w:rsidR="00C343D3">
        <w:rPr>
          <w:szCs w:val="24"/>
        </w:rPr>
        <w:t xml:space="preserve"> </w:t>
      </w:r>
      <w:r w:rsidR="0039495A" w:rsidRPr="0039495A">
        <w:rPr>
          <w:szCs w:val="24"/>
        </w:rPr>
        <w:t>Montana Education Preparation Provider Completers’ Satisfaction Survey</w:t>
      </w:r>
      <w:r w:rsidR="0039495A">
        <w:rPr>
          <w:szCs w:val="24"/>
        </w:rPr>
        <w:t xml:space="preserve">; </w:t>
      </w:r>
      <w:r w:rsidR="00C343D3">
        <w:rPr>
          <w:szCs w:val="24"/>
        </w:rPr>
        <w:t xml:space="preserve">the </w:t>
      </w:r>
      <w:r w:rsidR="0039495A">
        <w:rPr>
          <w:szCs w:val="24"/>
        </w:rPr>
        <w:t xml:space="preserve">SKC TEP Student Teachers’ Evaluation of their </w:t>
      </w:r>
      <w:r w:rsidR="003E0B68">
        <w:rPr>
          <w:szCs w:val="24"/>
        </w:rPr>
        <w:t>College Supervisors</w:t>
      </w:r>
      <w:r w:rsidR="0039495A">
        <w:rPr>
          <w:szCs w:val="24"/>
        </w:rPr>
        <w:t xml:space="preserve">; </w:t>
      </w:r>
      <w:r w:rsidR="00C343D3">
        <w:rPr>
          <w:szCs w:val="24"/>
        </w:rPr>
        <w:t xml:space="preserve">the </w:t>
      </w:r>
      <w:r w:rsidR="0039495A" w:rsidRPr="0039495A">
        <w:t xml:space="preserve">Evaluation of </w:t>
      </w:r>
      <w:r w:rsidR="003E0B68">
        <w:t>C</w:t>
      </w:r>
      <w:r w:rsidR="0039495A" w:rsidRPr="0039495A">
        <w:t xml:space="preserve">ooperating </w:t>
      </w:r>
      <w:r w:rsidR="003E0B68">
        <w:t>T</w:t>
      </w:r>
      <w:r w:rsidR="0039495A" w:rsidRPr="0039495A">
        <w:t xml:space="preserve">eachers’ </w:t>
      </w:r>
      <w:r w:rsidR="003E0B68">
        <w:t>A</w:t>
      </w:r>
      <w:r w:rsidR="0039495A" w:rsidRPr="0039495A">
        <w:t xml:space="preserve">bility to </w:t>
      </w:r>
      <w:r w:rsidR="003E0B68">
        <w:t>M</w:t>
      </w:r>
      <w:r w:rsidR="0039495A" w:rsidRPr="0039495A">
        <w:t xml:space="preserve">entor a </w:t>
      </w:r>
      <w:r w:rsidR="003E0B68">
        <w:t>S</w:t>
      </w:r>
      <w:r w:rsidR="0039495A" w:rsidRPr="0039495A">
        <w:t xml:space="preserve">tudent </w:t>
      </w:r>
      <w:r w:rsidR="003E0B68">
        <w:t>T</w:t>
      </w:r>
      <w:r w:rsidR="00C343D3">
        <w:t>eacher; and the Employers’ Survey of Completers Employment.</w:t>
      </w:r>
    </w:p>
    <w:p w14:paraId="520F9BDC" w14:textId="77777777" w:rsidR="003E0B68" w:rsidRDefault="002910B0" w:rsidP="003E0B68">
      <w:r>
        <w:t xml:space="preserve">All of the surveys speak highly of what is being surveyed indicating a broad acceptance and appreciation for many of the elements that make up the entirety of the Program.  The respondents in all surveys offer some candid information that should be useful to improving </w:t>
      </w:r>
      <w:r w:rsidR="00C343D3">
        <w:t>future preparation as the open ended responses provide better insight than the Likert type of responses.</w:t>
      </w:r>
    </w:p>
    <w:p w14:paraId="3BDB2F39" w14:textId="77777777" w:rsidR="00C343D3" w:rsidRPr="002E5999" w:rsidRDefault="00C343D3" w:rsidP="00C343D3">
      <w:r>
        <w:t>The satisfaction survey produced</w:t>
      </w:r>
      <w:r w:rsidRPr="002E5999">
        <w:t xml:space="preserve"> a very high degree of satisfaction with how completers have been prepared in critical thinking, professional growth, engaging with supervisors in supportive and professional conversation, and taking an active role on the instructional team.  Certainly it is no surprise these same completers are 100% very satisfied with their preparation in how to grow as a professional educator! </w:t>
      </w:r>
      <w:r>
        <w:t xml:space="preserve"> </w:t>
      </w:r>
    </w:p>
    <w:p w14:paraId="62AF718D" w14:textId="77777777" w:rsidR="00C343D3" w:rsidRDefault="00C343D3" w:rsidP="00C343D3">
      <w:pPr>
        <w:spacing w:before="0" w:after="200"/>
      </w:pPr>
      <w:r>
        <w:t xml:space="preserve">The responses from the mentor teacher evaluation by the student teachers were also very high and for areas of concern, the candidates were very positive in how they phrased any concerns, tending to suggest alternations that would improve and better maximize their own student teaching experiences.  </w:t>
      </w:r>
    </w:p>
    <w:p w14:paraId="7FA411E0" w14:textId="77777777" w:rsidR="00EF1A55" w:rsidRDefault="00B644FF" w:rsidP="00B644FF">
      <w:r>
        <w:lastRenderedPageBreak/>
        <w:t>The employers’ survey was exceptionally beneficial.  The survey basically addresses all of the InTA</w:t>
      </w:r>
      <w:r w:rsidR="00EF1A55">
        <w:t>S</w:t>
      </w:r>
      <w:r>
        <w:t>C/ 501 Teaching Standards.  Standard 6, Assessment, resurfaces again from the STE analysis as the highest Developing frequency standard among all 10 InTASC Standards.   The fact that employers noticed the relatively weaker development of Division graduates in the Assessment Standard 6 as did the mentor teachers and college supervisors presents great construct validity as well as the potential for good predictive validity.   This is to say that it is possible that the STE scores may serve the Program well i</w:t>
      </w:r>
      <w:r w:rsidR="00EF1A55">
        <w:t>f</w:t>
      </w:r>
      <w:r>
        <w:t xml:space="preserve"> those scores can serve as predictors </w:t>
      </w:r>
      <w:r w:rsidR="00EF1A55">
        <w:t>for what employers, that is, school principals, will find the Division completers may need to improve when they begin their professional careers.  Given the great correlation between the STE and the Employer Survey finding the same weakest InTASC Standard, the rest of the standards were similarly compared and the results displayed in Chart 7 on Page 40.  These two assessments may be able to serve the program in an unexpected way, that is, as a form of predictive validity for a criterion of high value, specifically, employer satisfaction!</w:t>
      </w:r>
    </w:p>
    <w:p w14:paraId="544EAE8B" w14:textId="77777777" w:rsidR="00EF1A55" w:rsidRDefault="00007E05" w:rsidP="00007E05">
      <w:r w:rsidRPr="00007E05">
        <w:rPr>
          <w:b/>
        </w:rPr>
        <w:t xml:space="preserve">IEFA </w:t>
      </w:r>
      <w:r>
        <w:t xml:space="preserve">is an important component for the Division of Education as a responsibility both internally as well as externally.  That is, the Division itself enjoys promulgating IEFA as part of its Program for the added benefit to all of the students who participate at any level in the Division.  However, most of the Division’s completers will find the promulgation of IEFA as part of their professional responsibilities and so it is necessary to ensure each completer leaves the Program having the necessary knowledge and understandings of IEFA and related components.  As can be seen in the data on Page 41, Division students are gaining such knowledge and understandings. </w:t>
      </w:r>
    </w:p>
    <w:p w14:paraId="698AE130" w14:textId="77777777" w:rsidR="00531B84" w:rsidRDefault="00007E05" w:rsidP="00007E05">
      <w:pPr>
        <w:pStyle w:val="Heading1"/>
      </w:pPr>
      <w:bookmarkStart w:id="53" w:name="_Toc493221906"/>
      <w:r>
        <w:t>Recommendations</w:t>
      </w:r>
      <w:bookmarkEnd w:id="53"/>
    </w:p>
    <w:p w14:paraId="0FEDCE59" w14:textId="77777777" w:rsidR="003E20AC" w:rsidRDefault="003E20AC" w:rsidP="003E20AC">
      <w:r w:rsidRPr="00773DB0">
        <w:t xml:space="preserve">Personalizing education in a classroom is certainly one of the most difficult qualities to acquire but is more importantly, one of the most rewarding qualities when accomplished.  Meeting personal needs of </w:t>
      </w:r>
      <w:r w:rsidR="00971716" w:rsidRPr="00773DB0">
        <w:t>students’</w:t>
      </w:r>
      <w:r w:rsidRPr="00773DB0">
        <w:t xml:space="preserve"> educational performance is a win-win for the student and </w:t>
      </w:r>
      <w:r w:rsidR="00971716">
        <w:t xml:space="preserve">for </w:t>
      </w:r>
      <w:r w:rsidR="00971716" w:rsidRPr="00773DB0">
        <w:t xml:space="preserve">the </w:t>
      </w:r>
      <w:r w:rsidRPr="00773DB0">
        <w:t xml:space="preserve">teacher, who in his or her own way is </w:t>
      </w:r>
      <w:r w:rsidR="00971716">
        <w:t xml:space="preserve">hopefully </w:t>
      </w:r>
      <w:r w:rsidRPr="00773DB0">
        <w:t>still a student as well</w:t>
      </w:r>
      <w:r w:rsidR="00971716">
        <w:t xml:space="preserve">.  </w:t>
      </w:r>
    </w:p>
    <w:p w14:paraId="3111F2FE" w14:textId="77777777" w:rsidR="00893CC8" w:rsidRDefault="00971716" w:rsidP="00971716">
      <w:r>
        <w:t>This analysis found virtually everything upon which data are gathered is being accomplished very well to exceptionally well.  The findings from these data suggested the areas that could use more attention during the preparation process include learning more about differentiated learning abilities, classroom management, understanding assessment</w:t>
      </w:r>
      <w:r w:rsidR="00B37920">
        <w:t xml:space="preserve">, better prepared to read/conduct research, and </w:t>
      </w:r>
      <w:r>
        <w:t>leadership.</w:t>
      </w:r>
      <w:r w:rsidR="00893CC8">
        <w:t xml:space="preserve"> </w:t>
      </w:r>
    </w:p>
    <w:p w14:paraId="18A3B8C4" w14:textId="77777777" w:rsidR="00893CC8" w:rsidRDefault="00893CC8" w:rsidP="00893CC8">
      <w:r>
        <w:t>During the final two years of this review period, the Dean had recognized the need for additional preparation in research methods wherein she supported the development and implementation of a specific class devoted to research.  During the past year, she also recognized the need for additional preparation in assessment and had started the development of a course on assessment.  Given the findings of this analysis, it would be prudent for the division to pursue the development and offering of an assessment class</w:t>
      </w:r>
      <w:r w:rsidR="00FA5AD7">
        <w:t xml:space="preserve"> at the Stage II level</w:t>
      </w:r>
      <w:r>
        <w:t>.</w:t>
      </w:r>
    </w:p>
    <w:p w14:paraId="5BF3FD69" w14:textId="77777777" w:rsidR="00FA5AD7" w:rsidRDefault="00971716" w:rsidP="00FA5AD7">
      <w:r>
        <w:t>The most informative data came from assessments that were of the pre-post design</w:t>
      </w:r>
      <w:r w:rsidR="00EF3EAF">
        <w:t xml:space="preserve">, had more than one rater, and given over more than one Stage if appropriate.  </w:t>
      </w:r>
      <w:r w:rsidR="00893CC8">
        <w:t>In addition, the open ended questions on Division assessments provided good specific information.</w:t>
      </w:r>
      <w:r w:rsidR="00FA5AD7">
        <w:t xml:space="preserve">  Particularly valuable are assessments having raters from two different perspectives, such as the student/faculty TPT assessments and the mentor teacher/college supervisor assessments.</w:t>
      </w:r>
      <w:r w:rsidR="00FA5AD7">
        <w:br w:type="page"/>
      </w:r>
    </w:p>
    <w:p w14:paraId="3A4D868D" w14:textId="77777777" w:rsidR="00EF3EAF" w:rsidRDefault="00EF3EAF" w:rsidP="0066404D">
      <w:r>
        <w:lastRenderedPageBreak/>
        <w:t xml:space="preserve">The division faculty has improved its assessment construct by having a common means of characterizing and defining those characteristics used to denote varying degrees of attainment.  The division faculty should double check to make sure all current assessments of the appropriate type utilize this same system and </w:t>
      </w:r>
      <w:r w:rsidR="00FA5AD7">
        <w:t xml:space="preserve">its </w:t>
      </w:r>
      <w:r>
        <w:t>definitions</w:t>
      </w:r>
      <w:r w:rsidR="00FA5AD7">
        <w:t xml:space="preserve"> of the descriptors.  </w:t>
      </w:r>
      <w:r>
        <w:t>All raters of these assessments must be aware of the definitions and apply them accordingly if the data are</w:t>
      </w:r>
      <w:r w:rsidR="00893CC8">
        <w:t xml:space="preserve"> </w:t>
      </w:r>
      <w:r>
        <w:t xml:space="preserve">to have any aggregate validity.  </w:t>
      </w:r>
    </w:p>
    <w:p w14:paraId="4B2FAE28" w14:textId="77777777" w:rsidR="00556646" w:rsidRDefault="00893CC8" w:rsidP="0066404D">
      <w:r>
        <w:t xml:space="preserve">The standards at all levels seek reliable and valid measures.  In order for the Division to have valid data generated by state and federal assessments, those assessments </w:t>
      </w:r>
      <w:r w:rsidR="00FA5AD7">
        <w:t xml:space="preserve">must provide the correct form of the data if it is to have the capacity to be valid.  </w:t>
      </w:r>
      <w:r w:rsidR="0045418C">
        <w:t xml:space="preserve">As pointed out earlier in this report, </w:t>
      </w:r>
      <w:r w:rsidR="00FA5AD7">
        <w:t xml:space="preserve">the state uses assessment </w:t>
      </w:r>
      <w:r w:rsidR="0045418C">
        <w:t xml:space="preserve">the undefined </w:t>
      </w:r>
      <w:r w:rsidR="00FA5AD7">
        <w:t xml:space="preserve">descriptors of </w:t>
      </w:r>
      <w:r w:rsidR="0045418C">
        <w:t xml:space="preserve">Very Satisfied; Somewhat Satisfied; Somewhat Unsatisfied; and Very Unsatisfied.  It is not possible for the Division to somehow infuse validity and reliability into the findings from such an assessment.  </w:t>
      </w:r>
    </w:p>
    <w:p w14:paraId="7F3913B0" w14:textId="77777777" w:rsidR="00556646" w:rsidRDefault="0045418C" w:rsidP="0066404D">
      <w:r>
        <w:t xml:space="preserve">If Likert type responses are wanted, there must be a clear definition of what each individual indicator such as 1,2, 3, and 4 mean.  If the raters do not have a common definition of Very Satisfied, for example, then an analysis of that data lacks the assurance that when tallying those scores, each rater meant the same thing for each signifier.  In the absence of those definitions, then validity is compromised, not at the fault of the EPP, but as a fault of the assessment </w:t>
      </w:r>
      <w:proofErr w:type="gramStart"/>
      <w:r>
        <w:t>developers</w:t>
      </w:r>
      <w:proofErr w:type="gramEnd"/>
      <w:r>
        <w:t xml:space="preserve"> failure to provide an assessment </w:t>
      </w:r>
      <w:r w:rsidR="00556646">
        <w:t>having</w:t>
      </w:r>
      <w:r>
        <w:t xml:space="preserve"> the </w:t>
      </w:r>
      <w:r w:rsidR="00556646">
        <w:t xml:space="preserve">capacity to combine categories of responses.  Developers and practitioners of those assessments need to keep in mind that ordinal data such as Likert type data or standardized data from SBAC, ACT, etc. do not measure at all; they provide ordinal data, which does not have the capacity to measure but rather to rank.  The recommendation in this regard is for the state to upgrade the validity of their assessments </w:t>
      </w:r>
      <w:r w:rsidR="00B37920">
        <w:t>so that EPPs have data having the validity and reliability that the state and federal government want schools to use.</w:t>
      </w:r>
    </w:p>
    <w:p w14:paraId="4BB53B00" w14:textId="77777777" w:rsidR="00B37920" w:rsidRDefault="00EF1A55" w:rsidP="0066404D">
      <w:r>
        <w:t xml:space="preserve">The MACK scores are inclusive of numerous kinds of indicators and provide a single score that sums up all of those indicators.  One problem that is apparent with the MACK scores is that a completer’s MACK score is comprised of the program’s GPA, the MSTA </w:t>
      </w:r>
      <w:r w:rsidR="00B37920">
        <w:t xml:space="preserve">scores, and the PRAXIS scores.  In order to combine these three scores into a single score, they must all be transformed to a common scale.  In doing so, GPA is scaled to an integer from zero to four.  A difference of one hundredth of a GPA point can make the difference between a </w:t>
      </w:r>
      <w:r w:rsidR="00811A46">
        <w:t>3</w:t>
      </w:r>
      <w:r w:rsidR="00B37920">
        <w:t xml:space="preserve"> and a </w:t>
      </w:r>
      <w:r w:rsidR="00811A46">
        <w:t>4</w:t>
      </w:r>
      <w:r w:rsidR="00B37920">
        <w:t xml:space="preserve">, which could make the difference </w:t>
      </w:r>
      <w:r w:rsidR="00811A46">
        <w:t xml:space="preserve">between a </w:t>
      </w:r>
      <w:r w:rsidR="00B37920">
        <w:t>MACK score</w:t>
      </w:r>
      <w:r w:rsidR="00811A46">
        <w:t xml:space="preserve"> of 6 and 7, which would make a difference in licensure and no licensure.  It is not possible to have meaningful reliability and validity in an assessment that encompasses all of the TEP grades, all of the MSTA scores, and the PRAXIS II scores and yet the final determination can be made by an insignificant difference of 1/100</w:t>
      </w:r>
      <w:r w:rsidR="00811A46" w:rsidRPr="00811A46">
        <w:rPr>
          <w:vertAlign w:val="superscript"/>
        </w:rPr>
        <w:t>th</w:t>
      </w:r>
      <w:r w:rsidR="00811A46">
        <w:t xml:space="preserve"> in Grade Point?  Both at the state and national levels, EPPs need to be helped so that the assessments they are required to give have the construct validity that allows the EPPs to reliability and validly assess their programs.</w:t>
      </w:r>
    </w:p>
    <w:p w14:paraId="02A556C8" w14:textId="77777777" w:rsidR="006F1120" w:rsidRDefault="0066404D" w:rsidP="0066404D">
      <w:r>
        <w:t xml:space="preserve">In conclusion, the quality of the SKC Division of Education is competitive with any teacher preparation program in Montana.  The Division has many indicators that find concurrent information; yet, each assessment retains its ability to find useful information unique to that assessment.  Congratulations to the exemplary division leadership and faculty responsible for such a quality program of teacher preparation.   </w:t>
      </w:r>
    </w:p>
    <w:p w14:paraId="1BFED9BA" w14:textId="77777777" w:rsidR="00B84AC5" w:rsidRDefault="00B84AC5" w:rsidP="00637DC1"/>
    <w:sectPr w:rsidR="00B84AC5" w:rsidSect="00330BD2">
      <w:headerReference w:type="default" r:id="rId22"/>
      <w:footerReference w:type="default" r:id="rId23"/>
      <w:headerReference w:type="first" r:id="rId24"/>
      <w:pgSz w:w="12240" w:h="15840" w:code="1"/>
      <w:pgMar w:top="1170" w:right="1080" w:bottom="1260" w:left="108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81CAA" w14:textId="77777777" w:rsidR="00366323" w:rsidRDefault="00366323" w:rsidP="00633301">
      <w:pPr>
        <w:spacing w:after="0" w:line="240" w:lineRule="auto"/>
      </w:pPr>
      <w:r>
        <w:separator/>
      </w:r>
    </w:p>
  </w:endnote>
  <w:endnote w:type="continuationSeparator" w:id="0">
    <w:p w14:paraId="11DAA308" w14:textId="77777777" w:rsidR="00366323" w:rsidRDefault="00366323" w:rsidP="00633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91BB0" w14:textId="77777777" w:rsidR="001B506F" w:rsidRDefault="001B506F">
    <w:pPr>
      <w:pStyle w:val="Footer"/>
      <w:jc w:val="center"/>
    </w:pPr>
  </w:p>
  <w:p w14:paraId="3037F30C" w14:textId="77777777" w:rsidR="001B506F" w:rsidRDefault="001B50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F09EA" w14:textId="77777777" w:rsidR="00366323" w:rsidRDefault="00366323" w:rsidP="00633301">
      <w:pPr>
        <w:spacing w:after="0" w:line="240" w:lineRule="auto"/>
      </w:pPr>
      <w:r>
        <w:separator/>
      </w:r>
    </w:p>
  </w:footnote>
  <w:footnote w:type="continuationSeparator" w:id="0">
    <w:p w14:paraId="47E2844B" w14:textId="77777777" w:rsidR="00366323" w:rsidRDefault="00366323" w:rsidP="0063330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595233"/>
      <w:docPartObj>
        <w:docPartGallery w:val="Page Numbers (Top of Page)"/>
        <w:docPartUnique/>
      </w:docPartObj>
    </w:sdtPr>
    <w:sdtEndPr>
      <w:rPr>
        <w:noProof/>
      </w:rPr>
    </w:sdtEndPr>
    <w:sdtContent>
      <w:p w14:paraId="69182F68" w14:textId="77777777" w:rsidR="001B506F" w:rsidRDefault="001B506F">
        <w:pPr>
          <w:pStyle w:val="Header"/>
          <w:jc w:val="right"/>
        </w:pPr>
        <w:r>
          <w:fldChar w:fldCharType="begin"/>
        </w:r>
        <w:r>
          <w:instrText xml:space="preserve"> PAGE   \* MERGEFORMAT </w:instrText>
        </w:r>
        <w:r>
          <w:fldChar w:fldCharType="separate"/>
        </w:r>
        <w:r w:rsidR="00E14E1A">
          <w:rPr>
            <w:noProof/>
          </w:rPr>
          <w:t>45</w:t>
        </w:r>
        <w:r>
          <w:rPr>
            <w:noProof/>
          </w:rPr>
          <w:fldChar w:fldCharType="end"/>
        </w:r>
      </w:p>
    </w:sdtContent>
  </w:sdt>
  <w:p w14:paraId="5FDFA6F5" w14:textId="77777777" w:rsidR="001B506F" w:rsidRDefault="001B506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052730"/>
      <w:docPartObj>
        <w:docPartGallery w:val="Page Numbers (Top of Page)"/>
        <w:docPartUnique/>
      </w:docPartObj>
    </w:sdtPr>
    <w:sdtEndPr>
      <w:rPr>
        <w:noProof/>
      </w:rPr>
    </w:sdtEndPr>
    <w:sdtContent>
      <w:p w14:paraId="140367D5" w14:textId="77777777" w:rsidR="001B506F" w:rsidRDefault="001B506F">
        <w:pPr>
          <w:pStyle w:val="Header"/>
          <w:jc w:val="right"/>
        </w:pPr>
        <w:r>
          <w:fldChar w:fldCharType="begin"/>
        </w:r>
        <w:r>
          <w:instrText xml:space="preserve"> PAGE   \* MERGEFORMAT </w:instrText>
        </w:r>
        <w:r>
          <w:fldChar w:fldCharType="separate"/>
        </w:r>
        <w:r w:rsidR="00E14E1A">
          <w:rPr>
            <w:noProof/>
          </w:rPr>
          <w:t>0</w:t>
        </w:r>
        <w:r>
          <w:rPr>
            <w:noProof/>
          </w:rPr>
          <w:fldChar w:fldCharType="end"/>
        </w:r>
      </w:p>
    </w:sdtContent>
  </w:sdt>
  <w:p w14:paraId="61B304C2" w14:textId="77777777" w:rsidR="001B506F" w:rsidRDefault="001B506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31ADA"/>
    <w:multiLevelType w:val="hybridMultilevel"/>
    <w:tmpl w:val="A058E652"/>
    <w:lvl w:ilvl="0" w:tplc="FFFFFFFF">
      <w:start w:val="9"/>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15132BBE"/>
    <w:multiLevelType w:val="hybridMultilevel"/>
    <w:tmpl w:val="9F40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E01523"/>
    <w:multiLevelType w:val="hybridMultilevel"/>
    <w:tmpl w:val="6D1C2EF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D5339F"/>
    <w:multiLevelType w:val="hybridMultilevel"/>
    <w:tmpl w:val="2CF8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6D6501"/>
    <w:multiLevelType w:val="hybridMultilevel"/>
    <w:tmpl w:val="E6026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096C7B"/>
    <w:multiLevelType w:val="hybridMultilevel"/>
    <w:tmpl w:val="D7F8D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E8499A"/>
    <w:multiLevelType w:val="hybridMultilevel"/>
    <w:tmpl w:val="592ED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7E29FE"/>
    <w:multiLevelType w:val="hybridMultilevel"/>
    <w:tmpl w:val="812C0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177F66"/>
    <w:multiLevelType w:val="hybridMultilevel"/>
    <w:tmpl w:val="D76A8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4D2D41"/>
    <w:multiLevelType w:val="hybridMultilevel"/>
    <w:tmpl w:val="73261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2"/>
  </w:num>
  <w:num w:numId="5">
    <w:abstractNumId w:val="3"/>
  </w:num>
  <w:num w:numId="6">
    <w:abstractNumId w:val="5"/>
  </w:num>
  <w:num w:numId="7">
    <w:abstractNumId w:val="1"/>
  </w:num>
  <w:num w:numId="8">
    <w:abstractNumId w:val="0"/>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3E5"/>
    <w:rsid w:val="00007E05"/>
    <w:rsid w:val="0001516F"/>
    <w:rsid w:val="00021617"/>
    <w:rsid w:val="000240EE"/>
    <w:rsid w:val="000249F1"/>
    <w:rsid w:val="00030F5D"/>
    <w:rsid w:val="00036C46"/>
    <w:rsid w:val="00045291"/>
    <w:rsid w:val="00051906"/>
    <w:rsid w:val="000600A1"/>
    <w:rsid w:val="000669F4"/>
    <w:rsid w:val="00072205"/>
    <w:rsid w:val="00075361"/>
    <w:rsid w:val="00087484"/>
    <w:rsid w:val="00091290"/>
    <w:rsid w:val="000949B3"/>
    <w:rsid w:val="000957BB"/>
    <w:rsid w:val="000A4836"/>
    <w:rsid w:val="000B0450"/>
    <w:rsid w:val="000B45A4"/>
    <w:rsid w:val="000C3250"/>
    <w:rsid w:val="000C4FFF"/>
    <w:rsid w:val="000F7767"/>
    <w:rsid w:val="0010294F"/>
    <w:rsid w:val="00110B1B"/>
    <w:rsid w:val="001144C5"/>
    <w:rsid w:val="0011623D"/>
    <w:rsid w:val="00124FB0"/>
    <w:rsid w:val="001302A6"/>
    <w:rsid w:val="0013363E"/>
    <w:rsid w:val="001433D8"/>
    <w:rsid w:val="0014349E"/>
    <w:rsid w:val="00146F93"/>
    <w:rsid w:val="00156101"/>
    <w:rsid w:val="0015625E"/>
    <w:rsid w:val="001667D5"/>
    <w:rsid w:val="001764CC"/>
    <w:rsid w:val="0018159F"/>
    <w:rsid w:val="001837C6"/>
    <w:rsid w:val="00183B99"/>
    <w:rsid w:val="001937B0"/>
    <w:rsid w:val="001968C8"/>
    <w:rsid w:val="001A06E5"/>
    <w:rsid w:val="001A0F6F"/>
    <w:rsid w:val="001A1757"/>
    <w:rsid w:val="001A17D2"/>
    <w:rsid w:val="001B4021"/>
    <w:rsid w:val="001B506F"/>
    <w:rsid w:val="001C1463"/>
    <w:rsid w:val="001C281A"/>
    <w:rsid w:val="001C292A"/>
    <w:rsid w:val="001D6F1E"/>
    <w:rsid w:val="001E6137"/>
    <w:rsid w:val="001F2325"/>
    <w:rsid w:val="002025E6"/>
    <w:rsid w:val="002077E3"/>
    <w:rsid w:val="002142B6"/>
    <w:rsid w:val="00221DD9"/>
    <w:rsid w:val="0022627F"/>
    <w:rsid w:val="002262E2"/>
    <w:rsid w:val="00226EEF"/>
    <w:rsid w:val="002337E5"/>
    <w:rsid w:val="00243654"/>
    <w:rsid w:val="002436AE"/>
    <w:rsid w:val="00262B40"/>
    <w:rsid w:val="00263778"/>
    <w:rsid w:val="00264F64"/>
    <w:rsid w:val="00265D71"/>
    <w:rsid w:val="00271F93"/>
    <w:rsid w:val="00273819"/>
    <w:rsid w:val="002817B0"/>
    <w:rsid w:val="0028192B"/>
    <w:rsid w:val="00290AD3"/>
    <w:rsid w:val="002910B0"/>
    <w:rsid w:val="002A3FAB"/>
    <w:rsid w:val="002B3BE1"/>
    <w:rsid w:val="002C01CE"/>
    <w:rsid w:val="002C2CA8"/>
    <w:rsid w:val="002D0B83"/>
    <w:rsid w:val="002E2A1E"/>
    <w:rsid w:val="002E5999"/>
    <w:rsid w:val="002E6FF4"/>
    <w:rsid w:val="002F162A"/>
    <w:rsid w:val="002F4FA9"/>
    <w:rsid w:val="002F5554"/>
    <w:rsid w:val="003038A4"/>
    <w:rsid w:val="0030460B"/>
    <w:rsid w:val="00304625"/>
    <w:rsid w:val="0031126C"/>
    <w:rsid w:val="00316A1F"/>
    <w:rsid w:val="0031778B"/>
    <w:rsid w:val="00321D70"/>
    <w:rsid w:val="00323EEF"/>
    <w:rsid w:val="00324B83"/>
    <w:rsid w:val="0032567F"/>
    <w:rsid w:val="00330BD2"/>
    <w:rsid w:val="003335DD"/>
    <w:rsid w:val="003346BA"/>
    <w:rsid w:val="00353564"/>
    <w:rsid w:val="00357041"/>
    <w:rsid w:val="00360FF9"/>
    <w:rsid w:val="00366323"/>
    <w:rsid w:val="00370C6B"/>
    <w:rsid w:val="003772FB"/>
    <w:rsid w:val="00385EA9"/>
    <w:rsid w:val="0039098D"/>
    <w:rsid w:val="00390D57"/>
    <w:rsid w:val="00391DD7"/>
    <w:rsid w:val="0039495A"/>
    <w:rsid w:val="00396927"/>
    <w:rsid w:val="003978AF"/>
    <w:rsid w:val="003A284F"/>
    <w:rsid w:val="003A5345"/>
    <w:rsid w:val="003B4D0F"/>
    <w:rsid w:val="003B6433"/>
    <w:rsid w:val="003D4836"/>
    <w:rsid w:val="003E016F"/>
    <w:rsid w:val="003E0B68"/>
    <w:rsid w:val="003E20AC"/>
    <w:rsid w:val="003E5D3B"/>
    <w:rsid w:val="003F5F47"/>
    <w:rsid w:val="00400606"/>
    <w:rsid w:val="00402207"/>
    <w:rsid w:val="00402869"/>
    <w:rsid w:val="004044DA"/>
    <w:rsid w:val="00413559"/>
    <w:rsid w:val="00423A43"/>
    <w:rsid w:val="00425089"/>
    <w:rsid w:val="00430517"/>
    <w:rsid w:val="0043577E"/>
    <w:rsid w:val="00440C1A"/>
    <w:rsid w:val="004441A8"/>
    <w:rsid w:val="00444C46"/>
    <w:rsid w:val="00446BB4"/>
    <w:rsid w:val="0045418C"/>
    <w:rsid w:val="004568E0"/>
    <w:rsid w:val="00464159"/>
    <w:rsid w:val="00473746"/>
    <w:rsid w:val="004738EB"/>
    <w:rsid w:val="00477D1A"/>
    <w:rsid w:val="0048140F"/>
    <w:rsid w:val="004814C3"/>
    <w:rsid w:val="00483D8A"/>
    <w:rsid w:val="00484377"/>
    <w:rsid w:val="004843FD"/>
    <w:rsid w:val="0048490E"/>
    <w:rsid w:val="004928F0"/>
    <w:rsid w:val="004B16ED"/>
    <w:rsid w:val="004C554C"/>
    <w:rsid w:val="004C6292"/>
    <w:rsid w:val="004D30F3"/>
    <w:rsid w:val="004E0914"/>
    <w:rsid w:val="004E486C"/>
    <w:rsid w:val="004E5DA1"/>
    <w:rsid w:val="004F10BC"/>
    <w:rsid w:val="004F61B8"/>
    <w:rsid w:val="004F75DB"/>
    <w:rsid w:val="005032D8"/>
    <w:rsid w:val="00521F77"/>
    <w:rsid w:val="005272F4"/>
    <w:rsid w:val="0052767A"/>
    <w:rsid w:val="00531B84"/>
    <w:rsid w:val="005354A5"/>
    <w:rsid w:val="00544C7E"/>
    <w:rsid w:val="00545A08"/>
    <w:rsid w:val="0055006C"/>
    <w:rsid w:val="00550994"/>
    <w:rsid w:val="00556646"/>
    <w:rsid w:val="00562539"/>
    <w:rsid w:val="0056495F"/>
    <w:rsid w:val="005651A3"/>
    <w:rsid w:val="00581C49"/>
    <w:rsid w:val="00584139"/>
    <w:rsid w:val="005934C4"/>
    <w:rsid w:val="00593643"/>
    <w:rsid w:val="005944B5"/>
    <w:rsid w:val="00597CA4"/>
    <w:rsid w:val="005A3D2E"/>
    <w:rsid w:val="005A50DE"/>
    <w:rsid w:val="005A78D6"/>
    <w:rsid w:val="005B3EF7"/>
    <w:rsid w:val="005B5E26"/>
    <w:rsid w:val="005B6B05"/>
    <w:rsid w:val="005C435A"/>
    <w:rsid w:val="005C6ADE"/>
    <w:rsid w:val="005D25FE"/>
    <w:rsid w:val="005D4B7B"/>
    <w:rsid w:val="005E4275"/>
    <w:rsid w:val="005E5344"/>
    <w:rsid w:val="005E5797"/>
    <w:rsid w:val="005F29E8"/>
    <w:rsid w:val="005F3C68"/>
    <w:rsid w:val="005F4B05"/>
    <w:rsid w:val="005F73DA"/>
    <w:rsid w:val="00601EE4"/>
    <w:rsid w:val="00603C3A"/>
    <w:rsid w:val="00631D7F"/>
    <w:rsid w:val="00633301"/>
    <w:rsid w:val="00637DC1"/>
    <w:rsid w:val="00641772"/>
    <w:rsid w:val="00642F13"/>
    <w:rsid w:val="00643E33"/>
    <w:rsid w:val="006460F1"/>
    <w:rsid w:val="00654C9A"/>
    <w:rsid w:val="0066404D"/>
    <w:rsid w:val="006671E4"/>
    <w:rsid w:val="00676B1D"/>
    <w:rsid w:val="006837F2"/>
    <w:rsid w:val="006904FB"/>
    <w:rsid w:val="00693F8A"/>
    <w:rsid w:val="006A3A8F"/>
    <w:rsid w:val="006B06DC"/>
    <w:rsid w:val="006B0A16"/>
    <w:rsid w:val="006B23DC"/>
    <w:rsid w:val="006C406B"/>
    <w:rsid w:val="006C5015"/>
    <w:rsid w:val="006D26A3"/>
    <w:rsid w:val="006D5B8B"/>
    <w:rsid w:val="006F0A18"/>
    <w:rsid w:val="006F1120"/>
    <w:rsid w:val="006F4D59"/>
    <w:rsid w:val="006F7F72"/>
    <w:rsid w:val="00702927"/>
    <w:rsid w:val="00704058"/>
    <w:rsid w:val="00705AD1"/>
    <w:rsid w:val="00706457"/>
    <w:rsid w:val="00723112"/>
    <w:rsid w:val="0072477E"/>
    <w:rsid w:val="00726BA4"/>
    <w:rsid w:val="00726E0C"/>
    <w:rsid w:val="007313D2"/>
    <w:rsid w:val="007333D9"/>
    <w:rsid w:val="007350CA"/>
    <w:rsid w:val="00735A01"/>
    <w:rsid w:val="00743FC2"/>
    <w:rsid w:val="00744884"/>
    <w:rsid w:val="00761489"/>
    <w:rsid w:val="00766DF8"/>
    <w:rsid w:val="0077275E"/>
    <w:rsid w:val="00772C22"/>
    <w:rsid w:val="00773DB0"/>
    <w:rsid w:val="00774066"/>
    <w:rsid w:val="00785FC8"/>
    <w:rsid w:val="00790739"/>
    <w:rsid w:val="00791AC1"/>
    <w:rsid w:val="0079443B"/>
    <w:rsid w:val="007A04F8"/>
    <w:rsid w:val="007B7AAA"/>
    <w:rsid w:val="007B7B52"/>
    <w:rsid w:val="007C2506"/>
    <w:rsid w:val="007C69BE"/>
    <w:rsid w:val="007D3DF3"/>
    <w:rsid w:val="007E0B59"/>
    <w:rsid w:val="007E6500"/>
    <w:rsid w:val="007F0163"/>
    <w:rsid w:val="00802B5B"/>
    <w:rsid w:val="00804F30"/>
    <w:rsid w:val="008061C8"/>
    <w:rsid w:val="0080679F"/>
    <w:rsid w:val="00806D37"/>
    <w:rsid w:val="008071B0"/>
    <w:rsid w:val="00811A46"/>
    <w:rsid w:val="00822CE9"/>
    <w:rsid w:val="00823107"/>
    <w:rsid w:val="00835454"/>
    <w:rsid w:val="00855121"/>
    <w:rsid w:val="00863003"/>
    <w:rsid w:val="0086743C"/>
    <w:rsid w:val="0088040E"/>
    <w:rsid w:val="008805FA"/>
    <w:rsid w:val="008823AA"/>
    <w:rsid w:val="00893CC8"/>
    <w:rsid w:val="008A370F"/>
    <w:rsid w:val="008A74A0"/>
    <w:rsid w:val="008B2642"/>
    <w:rsid w:val="008B712E"/>
    <w:rsid w:val="008C57EB"/>
    <w:rsid w:val="008C5A64"/>
    <w:rsid w:val="008E1592"/>
    <w:rsid w:val="008E5E0C"/>
    <w:rsid w:val="008F4631"/>
    <w:rsid w:val="008F4A54"/>
    <w:rsid w:val="00905B4F"/>
    <w:rsid w:val="00911CB2"/>
    <w:rsid w:val="00915F26"/>
    <w:rsid w:val="0091707E"/>
    <w:rsid w:val="009207EA"/>
    <w:rsid w:val="0093141C"/>
    <w:rsid w:val="009368F8"/>
    <w:rsid w:val="00943FDD"/>
    <w:rsid w:val="00945266"/>
    <w:rsid w:val="0095051B"/>
    <w:rsid w:val="00955C25"/>
    <w:rsid w:val="00961B0E"/>
    <w:rsid w:val="00962D82"/>
    <w:rsid w:val="009634EE"/>
    <w:rsid w:val="00965BA9"/>
    <w:rsid w:val="009701FC"/>
    <w:rsid w:val="00971716"/>
    <w:rsid w:val="0098048A"/>
    <w:rsid w:val="00981065"/>
    <w:rsid w:val="009834C1"/>
    <w:rsid w:val="009841CF"/>
    <w:rsid w:val="00986F4E"/>
    <w:rsid w:val="00990C69"/>
    <w:rsid w:val="009A73E5"/>
    <w:rsid w:val="009B1FD5"/>
    <w:rsid w:val="009B2CDB"/>
    <w:rsid w:val="009C3ECB"/>
    <w:rsid w:val="009C5D71"/>
    <w:rsid w:val="009D0CC1"/>
    <w:rsid w:val="009D5C02"/>
    <w:rsid w:val="009E155F"/>
    <w:rsid w:val="009F0B0A"/>
    <w:rsid w:val="009F42E1"/>
    <w:rsid w:val="00A07601"/>
    <w:rsid w:val="00A0761D"/>
    <w:rsid w:val="00A0785D"/>
    <w:rsid w:val="00A12B33"/>
    <w:rsid w:val="00A25C5A"/>
    <w:rsid w:val="00A350FB"/>
    <w:rsid w:val="00A378D5"/>
    <w:rsid w:val="00A41540"/>
    <w:rsid w:val="00A42A8A"/>
    <w:rsid w:val="00A47208"/>
    <w:rsid w:val="00A5235C"/>
    <w:rsid w:val="00A57F7A"/>
    <w:rsid w:val="00A61639"/>
    <w:rsid w:val="00A70E45"/>
    <w:rsid w:val="00A73485"/>
    <w:rsid w:val="00A73A3B"/>
    <w:rsid w:val="00A8144B"/>
    <w:rsid w:val="00A8442F"/>
    <w:rsid w:val="00A91EE5"/>
    <w:rsid w:val="00AA2CC3"/>
    <w:rsid w:val="00AB0C96"/>
    <w:rsid w:val="00AB0FEA"/>
    <w:rsid w:val="00AB40BA"/>
    <w:rsid w:val="00AC6636"/>
    <w:rsid w:val="00AC73EF"/>
    <w:rsid w:val="00AD5DBB"/>
    <w:rsid w:val="00AD64D8"/>
    <w:rsid w:val="00AE6F00"/>
    <w:rsid w:val="00AF0FE2"/>
    <w:rsid w:val="00AF55D1"/>
    <w:rsid w:val="00AF5BAE"/>
    <w:rsid w:val="00AF7581"/>
    <w:rsid w:val="00AF7798"/>
    <w:rsid w:val="00B00553"/>
    <w:rsid w:val="00B0389A"/>
    <w:rsid w:val="00B04FE6"/>
    <w:rsid w:val="00B054C6"/>
    <w:rsid w:val="00B168C8"/>
    <w:rsid w:val="00B27601"/>
    <w:rsid w:val="00B3625D"/>
    <w:rsid w:val="00B37920"/>
    <w:rsid w:val="00B413FA"/>
    <w:rsid w:val="00B42892"/>
    <w:rsid w:val="00B43733"/>
    <w:rsid w:val="00B6094E"/>
    <w:rsid w:val="00B644FF"/>
    <w:rsid w:val="00B65BFC"/>
    <w:rsid w:val="00B72AAC"/>
    <w:rsid w:val="00B73EE0"/>
    <w:rsid w:val="00B753DA"/>
    <w:rsid w:val="00B84AC5"/>
    <w:rsid w:val="00B85349"/>
    <w:rsid w:val="00B8599D"/>
    <w:rsid w:val="00B85E4B"/>
    <w:rsid w:val="00B86DA6"/>
    <w:rsid w:val="00BA4268"/>
    <w:rsid w:val="00BB7EFF"/>
    <w:rsid w:val="00BC4A53"/>
    <w:rsid w:val="00BC706A"/>
    <w:rsid w:val="00BE509D"/>
    <w:rsid w:val="00BF3483"/>
    <w:rsid w:val="00BF5F57"/>
    <w:rsid w:val="00BF7C62"/>
    <w:rsid w:val="00C00FE2"/>
    <w:rsid w:val="00C02699"/>
    <w:rsid w:val="00C166EF"/>
    <w:rsid w:val="00C202C7"/>
    <w:rsid w:val="00C24C7F"/>
    <w:rsid w:val="00C324C6"/>
    <w:rsid w:val="00C340BC"/>
    <w:rsid w:val="00C343D3"/>
    <w:rsid w:val="00C4142C"/>
    <w:rsid w:val="00C52F85"/>
    <w:rsid w:val="00C53520"/>
    <w:rsid w:val="00C535D9"/>
    <w:rsid w:val="00C53AB7"/>
    <w:rsid w:val="00C54278"/>
    <w:rsid w:val="00C618FE"/>
    <w:rsid w:val="00C71759"/>
    <w:rsid w:val="00C723AA"/>
    <w:rsid w:val="00C761DD"/>
    <w:rsid w:val="00C821EE"/>
    <w:rsid w:val="00C8491E"/>
    <w:rsid w:val="00C9051B"/>
    <w:rsid w:val="00C97119"/>
    <w:rsid w:val="00CA160D"/>
    <w:rsid w:val="00CB03A3"/>
    <w:rsid w:val="00CB04D3"/>
    <w:rsid w:val="00CB29F7"/>
    <w:rsid w:val="00CC1F78"/>
    <w:rsid w:val="00CC26AA"/>
    <w:rsid w:val="00CD22CE"/>
    <w:rsid w:val="00CD62B1"/>
    <w:rsid w:val="00CE5AA9"/>
    <w:rsid w:val="00D01F65"/>
    <w:rsid w:val="00D04DCB"/>
    <w:rsid w:val="00D14E1D"/>
    <w:rsid w:val="00D14E9C"/>
    <w:rsid w:val="00D17A05"/>
    <w:rsid w:val="00D21286"/>
    <w:rsid w:val="00D224F6"/>
    <w:rsid w:val="00D32504"/>
    <w:rsid w:val="00D53FD7"/>
    <w:rsid w:val="00D568BB"/>
    <w:rsid w:val="00D57C45"/>
    <w:rsid w:val="00D67BC7"/>
    <w:rsid w:val="00D830E9"/>
    <w:rsid w:val="00D90474"/>
    <w:rsid w:val="00D931AD"/>
    <w:rsid w:val="00D97199"/>
    <w:rsid w:val="00DA0E2F"/>
    <w:rsid w:val="00DB15ED"/>
    <w:rsid w:val="00DC6621"/>
    <w:rsid w:val="00DC7A7D"/>
    <w:rsid w:val="00DD0440"/>
    <w:rsid w:val="00DD6B02"/>
    <w:rsid w:val="00DE1B34"/>
    <w:rsid w:val="00DE2BE6"/>
    <w:rsid w:val="00DF07C3"/>
    <w:rsid w:val="00DF3F86"/>
    <w:rsid w:val="00DF7E3E"/>
    <w:rsid w:val="00E03996"/>
    <w:rsid w:val="00E14E1A"/>
    <w:rsid w:val="00E3778E"/>
    <w:rsid w:val="00E402C2"/>
    <w:rsid w:val="00E4078B"/>
    <w:rsid w:val="00E5576C"/>
    <w:rsid w:val="00E619E0"/>
    <w:rsid w:val="00E67346"/>
    <w:rsid w:val="00E716DA"/>
    <w:rsid w:val="00E755E4"/>
    <w:rsid w:val="00E84745"/>
    <w:rsid w:val="00E92089"/>
    <w:rsid w:val="00E92D49"/>
    <w:rsid w:val="00EB76BE"/>
    <w:rsid w:val="00EC018A"/>
    <w:rsid w:val="00EC304F"/>
    <w:rsid w:val="00EC6A9C"/>
    <w:rsid w:val="00ED0BD6"/>
    <w:rsid w:val="00ED0C4D"/>
    <w:rsid w:val="00EE2521"/>
    <w:rsid w:val="00EE2D24"/>
    <w:rsid w:val="00EF1A55"/>
    <w:rsid w:val="00EF3EAF"/>
    <w:rsid w:val="00F01838"/>
    <w:rsid w:val="00F02ACC"/>
    <w:rsid w:val="00F032D8"/>
    <w:rsid w:val="00F03EC1"/>
    <w:rsid w:val="00F06239"/>
    <w:rsid w:val="00F13BF5"/>
    <w:rsid w:val="00F152C8"/>
    <w:rsid w:val="00F174EA"/>
    <w:rsid w:val="00F208AA"/>
    <w:rsid w:val="00F215F7"/>
    <w:rsid w:val="00F427B3"/>
    <w:rsid w:val="00F445E4"/>
    <w:rsid w:val="00F57E35"/>
    <w:rsid w:val="00F62DC8"/>
    <w:rsid w:val="00F67133"/>
    <w:rsid w:val="00F71CC8"/>
    <w:rsid w:val="00F73BC8"/>
    <w:rsid w:val="00F8635C"/>
    <w:rsid w:val="00F90DD7"/>
    <w:rsid w:val="00F9174B"/>
    <w:rsid w:val="00F944E2"/>
    <w:rsid w:val="00F96D76"/>
    <w:rsid w:val="00FA392F"/>
    <w:rsid w:val="00FA5AD7"/>
    <w:rsid w:val="00FB1FC5"/>
    <w:rsid w:val="00FD1968"/>
    <w:rsid w:val="00FE4336"/>
    <w:rsid w:val="00FE76F7"/>
    <w:rsid w:val="00FF295F"/>
    <w:rsid w:val="00FF37E0"/>
    <w:rsid w:val="00FF79F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BED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78D6"/>
    <w:pPr>
      <w:spacing w:before="80" w:after="80"/>
    </w:pPr>
  </w:style>
  <w:style w:type="paragraph" w:styleId="Heading1">
    <w:name w:val="heading 1"/>
    <w:aliases w:val="APA 2"/>
    <w:basedOn w:val="Normal"/>
    <w:next w:val="Normal"/>
    <w:link w:val="Heading1Char"/>
    <w:autoRedefine/>
    <w:uiPriority w:val="9"/>
    <w:qFormat/>
    <w:rsid w:val="00007E05"/>
    <w:pPr>
      <w:keepNext/>
      <w:keepLines/>
      <w:spacing w:before="60"/>
      <w:outlineLvl w:val="0"/>
    </w:pPr>
    <w:rPr>
      <w:rFonts w:eastAsiaTheme="majorEastAsia" w:cstheme="majorBidi"/>
      <w:b/>
      <w:bCs/>
      <w:color w:val="000000" w:themeColor="text1"/>
      <w:sz w:val="26"/>
      <w:szCs w:val="28"/>
    </w:rPr>
  </w:style>
  <w:style w:type="paragraph" w:styleId="Heading2">
    <w:name w:val="heading 2"/>
    <w:aliases w:val="APA 3"/>
    <w:basedOn w:val="Normal"/>
    <w:next w:val="Normal"/>
    <w:link w:val="Heading2Char"/>
    <w:autoRedefine/>
    <w:uiPriority w:val="9"/>
    <w:unhideWhenUsed/>
    <w:qFormat/>
    <w:rsid w:val="002910B0"/>
    <w:pPr>
      <w:keepNext/>
      <w:keepLines/>
      <w:ind w:left="432"/>
      <w:outlineLvl w:val="1"/>
    </w:pPr>
    <w:rPr>
      <w:rFonts w:eastAsiaTheme="majorEastAsia" w:cstheme="majorBidi"/>
      <w:b/>
      <w:bCs/>
      <w:szCs w:val="26"/>
    </w:rPr>
  </w:style>
  <w:style w:type="paragraph" w:styleId="Heading3">
    <w:name w:val="heading 3"/>
    <w:aliases w:val="APA 4"/>
    <w:basedOn w:val="Normal"/>
    <w:next w:val="Normal"/>
    <w:link w:val="Heading3Char"/>
    <w:autoRedefine/>
    <w:uiPriority w:val="9"/>
    <w:unhideWhenUsed/>
    <w:qFormat/>
    <w:rsid w:val="00E755E4"/>
    <w:pPr>
      <w:keepNext/>
      <w:keepLines/>
      <w:tabs>
        <w:tab w:val="left" w:pos="360"/>
        <w:tab w:val="left" w:pos="450"/>
      </w:tabs>
      <w:outlineLvl w:val="2"/>
    </w:pPr>
    <w:rPr>
      <w:rFonts w:eastAsiaTheme="majorEastAsia" w:cstheme="majorBidi"/>
      <w:b/>
      <w:bCs/>
      <w:i/>
      <w:color w:val="000000" w:themeColor="text1"/>
      <w:sz w:val="26"/>
      <w:szCs w:val="26"/>
    </w:rPr>
  </w:style>
  <w:style w:type="paragraph" w:styleId="Heading4">
    <w:name w:val="heading 4"/>
    <w:basedOn w:val="Normal"/>
    <w:next w:val="Normal"/>
    <w:link w:val="Heading4Char"/>
    <w:uiPriority w:val="9"/>
    <w:unhideWhenUsed/>
    <w:qFormat/>
    <w:rsid w:val="009E15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755E4"/>
    <w:pPr>
      <w:keepNext/>
      <w:keepLines/>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7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B52"/>
    <w:rPr>
      <w:rFonts w:ascii="Tahoma" w:hAnsi="Tahoma" w:cs="Tahoma"/>
      <w:sz w:val="16"/>
      <w:szCs w:val="16"/>
    </w:rPr>
  </w:style>
  <w:style w:type="paragraph" w:styleId="ListParagraph">
    <w:name w:val="List Paragraph"/>
    <w:basedOn w:val="Normal"/>
    <w:uiPriority w:val="34"/>
    <w:qFormat/>
    <w:rsid w:val="007350CA"/>
    <w:pPr>
      <w:ind w:left="720"/>
      <w:contextualSpacing/>
    </w:pPr>
  </w:style>
  <w:style w:type="paragraph" w:styleId="NormalWeb">
    <w:name w:val="Normal (Web)"/>
    <w:basedOn w:val="Normal"/>
    <w:uiPriority w:val="99"/>
    <w:semiHidden/>
    <w:unhideWhenUsed/>
    <w:rsid w:val="007C69BE"/>
    <w:pPr>
      <w:spacing w:before="100" w:beforeAutospacing="1" w:after="100" w:afterAutospacing="1" w:line="240" w:lineRule="auto"/>
    </w:pPr>
    <w:rPr>
      <w:rFonts w:eastAsia="Times New Roman"/>
      <w:szCs w:val="24"/>
    </w:rPr>
  </w:style>
  <w:style w:type="paragraph" w:styleId="Header">
    <w:name w:val="header"/>
    <w:basedOn w:val="Normal"/>
    <w:link w:val="HeaderChar"/>
    <w:uiPriority w:val="99"/>
    <w:unhideWhenUsed/>
    <w:rsid w:val="00633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301"/>
  </w:style>
  <w:style w:type="paragraph" w:styleId="Footer">
    <w:name w:val="footer"/>
    <w:basedOn w:val="Normal"/>
    <w:link w:val="FooterChar"/>
    <w:uiPriority w:val="99"/>
    <w:unhideWhenUsed/>
    <w:rsid w:val="00633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301"/>
  </w:style>
  <w:style w:type="character" w:customStyle="1" w:styleId="Heading1Char">
    <w:name w:val="Heading 1 Char"/>
    <w:aliases w:val="APA 2 Char"/>
    <w:basedOn w:val="DefaultParagraphFont"/>
    <w:link w:val="Heading1"/>
    <w:uiPriority w:val="9"/>
    <w:rsid w:val="00007E05"/>
    <w:rPr>
      <w:rFonts w:eastAsiaTheme="majorEastAsia" w:cstheme="majorBidi"/>
      <w:b/>
      <w:bCs/>
      <w:color w:val="000000" w:themeColor="text1"/>
      <w:sz w:val="26"/>
      <w:szCs w:val="28"/>
    </w:rPr>
  </w:style>
  <w:style w:type="character" w:customStyle="1" w:styleId="Heading2Char">
    <w:name w:val="Heading 2 Char"/>
    <w:aliases w:val="APA 3 Char"/>
    <w:basedOn w:val="DefaultParagraphFont"/>
    <w:link w:val="Heading2"/>
    <w:uiPriority w:val="9"/>
    <w:rsid w:val="002910B0"/>
    <w:rPr>
      <w:rFonts w:eastAsiaTheme="majorEastAsia" w:cstheme="majorBidi"/>
      <w:b/>
      <w:bCs/>
      <w:szCs w:val="26"/>
    </w:rPr>
  </w:style>
  <w:style w:type="paragraph" w:styleId="Title">
    <w:name w:val="Title"/>
    <w:basedOn w:val="Normal"/>
    <w:next w:val="Normal"/>
    <w:link w:val="TitleChar"/>
    <w:uiPriority w:val="10"/>
    <w:qFormat/>
    <w:rsid w:val="00B005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B0055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B00553"/>
    <w:pPr>
      <w:numPr>
        <w:ilvl w:val="1"/>
      </w:numPr>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B00553"/>
    <w:rPr>
      <w:rFonts w:asciiTheme="majorHAnsi" w:eastAsiaTheme="majorEastAsia" w:hAnsiTheme="majorHAnsi" w:cstheme="majorBidi"/>
      <w:i/>
      <w:iCs/>
      <w:color w:val="4F81BD" w:themeColor="accent1"/>
      <w:spacing w:val="15"/>
      <w:szCs w:val="24"/>
      <w:lang w:eastAsia="ja-JP"/>
    </w:rPr>
  </w:style>
  <w:style w:type="paragraph" w:styleId="TOCHeading">
    <w:name w:val="TOC Heading"/>
    <w:basedOn w:val="Heading1"/>
    <w:next w:val="Normal"/>
    <w:uiPriority w:val="39"/>
    <w:unhideWhenUsed/>
    <w:qFormat/>
    <w:rsid w:val="00ED0C4D"/>
    <w:pPr>
      <w:outlineLvl w:val="9"/>
    </w:pPr>
    <w:rPr>
      <w:rFonts w:asciiTheme="majorHAnsi" w:hAnsiTheme="majorHAnsi"/>
      <w:sz w:val="28"/>
      <w:lang w:eastAsia="ja-JP"/>
    </w:rPr>
  </w:style>
  <w:style w:type="paragraph" w:styleId="TOC2">
    <w:name w:val="toc 2"/>
    <w:basedOn w:val="Normal"/>
    <w:next w:val="Normal"/>
    <w:autoRedefine/>
    <w:uiPriority w:val="39"/>
    <w:unhideWhenUsed/>
    <w:rsid w:val="00ED0C4D"/>
    <w:pPr>
      <w:spacing w:after="100"/>
      <w:ind w:left="240"/>
    </w:pPr>
  </w:style>
  <w:style w:type="character" w:styleId="Hyperlink">
    <w:name w:val="Hyperlink"/>
    <w:basedOn w:val="DefaultParagraphFont"/>
    <w:uiPriority w:val="99"/>
    <w:unhideWhenUsed/>
    <w:rsid w:val="00ED0C4D"/>
    <w:rPr>
      <w:color w:val="0000FF" w:themeColor="hyperlink"/>
      <w:u w:val="single"/>
    </w:rPr>
  </w:style>
  <w:style w:type="paragraph" w:styleId="TOC1">
    <w:name w:val="toc 1"/>
    <w:basedOn w:val="Normal"/>
    <w:next w:val="Normal"/>
    <w:autoRedefine/>
    <w:uiPriority w:val="39"/>
    <w:unhideWhenUsed/>
    <w:rsid w:val="001A0F6F"/>
    <w:pPr>
      <w:tabs>
        <w:tab w:val="right" w:leader="dot" w:pos="10070"/>
      </w:tabs>
      <w:spacing w:after="100"/>
    </w:pPr>
  </w:style>
  <w:style w:type="character" w:customStyle="1" w:styleId="Heading3Char">
    <w:name w:val="Heading 3 Char"/>
    <w:aliases w:val="APA 4 Char"/>
    <w:basedOn w:val="DefaultParagraphFont"/>
    <w:link w:val="Heading3"/>
    <w:uiPriority w:val="9"/>
    <w:rsid w:val="00E755E4"/>
    <w:rPr>
      <w:rFonts w:eastAsiaTheme="majorEastAsia" w:cstheme="majorBidi"/>
      <w:b/>
      <w:bCs/>
      <w:i/>
      <w:color w:val="000000" w:themeColor="text1"/>
      <w:sz w:val="26"/>
      <w:szCs w:val="26"/>
    </w:rPr>
  </w:style>
  <w:style w:type="character" w:customStyle="1" w:styleId="Heading4Char">
    <w:name w:val="Heading 4 Char"/>
    <w:basedOn w:val="DefaultParagraphFont"/>
    <w:link w:val="Heading4"/>
    <w:uiPriority w:val="9"/>
    <w:rsid w:val="009E155F"/>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5B5E26"/>
    <w:pPr>
      <w:tabs>
        <w:tab w:val="right" w:leader="dot" w:pos="10070"/>
      </w:tabs>
      <w:spacing w:after="100"/>
      <w:ind w:left="480"/>
    </w:pPr>
    <w:rPr>
      <w:b/>
      <w:i/>
      <w:noProof/>
    </w:rPr>
  </w:style>
  <w:style w:type="paragraph" w:styleId="Caption">
    <w:name w:val="caption"/>
    <w:basedOn w:val="Normal"/>
    <w:next w:val="Normal"/>
    <w:uiPriority w:val="35"/>
    <w:unhideWhenUsed/>
    <w:qFormat/>
    <w:rsid w:val="00AC73EF"/>
    <w:pPr>
      <w:spacing w:before="0"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E67346"/>
    <w:pPr>
      <w:spacing w:after="0"/>
    </w:pPr>
    <w:rPr>
      <w:sz w:val="22"/>
    </w:rPr>
  </w:style>
  <w:style w:type="character" w:customStyle="1" w:styleId="Heading5Char">
    <w:name w:val="Heading 5 Char"/>
    <w:basedOn w:val="DefaultParagraphFont"/>
    <w:link w:val="Heading5"/>
    <w:uiPriority w:val="9"/>
    <w:semiHidden/>
    <w:rsid w:val="00E755E4"/>
    <w:rPr>
      <w:rFonts w:eastAsiaTheme="majorEastAsia"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4431">
      <w:bodyDiv w:val="1"/>
      <w:marLeft w:val="0"/>
      <w:marRight w:val="0"/>
      <w:marTop w:val="0"/>
      <w:marBottom w:val="0"/>
      <w:divBdr>
        <w:top w:val="none" w:sz="0" w:space="0" w:color="auto"/>
        <w:left w:val="none" w:sz="0" w:space="0" w:color="auto"/>
        <w:bottom w:val="none" w:sz="0" w:space="0" w:color="auto"/>
        <w:right w:val="none" w:sz="0" w:space="0" w:color="auto"/>
      </w:divBdr>
    </w:div>
    <w:div w:id="51587214">
      <w:bodyDiv w:val="1"/>
      <w:marLeft w:val="0"/>
      <w:marRight w:val="0"/>
      <w:marTop w:val="0"/>
      <w:marBottom w:val="0"/>
      <w:divBdr>
        <w:top w:val="none" w:sz="0" w:space="0" w:color="auto"/>
        <w:left w:val="none" w:sz="0" w:space="0" w:color="auto"/>
        <w:bottom w:val="none" w:sz="0" w:space="0" w:color="auto"/>
        <w:right w:val="none" w:sz="0" w:space="0" w:color="auto"/>
      </w:divBdr>
    </w:div>
    <w:div w:id="65736126">
      <w:bodyDiv w:val="1"/>
      <w:marLeft w:val="0"/>
      <w:marRight w:val="0"/>
      <w:marTop w:val="0"/>
      <w:marBottom w:val="0"/>
      <w:divBdr>
        <w:top w:val="none" w:sz="0" w:space="0" w:color="auto"/>
        <w:left w:val="none" w:sz="0" w:space="0" w:color="auto"/>
        <w:bottom w:val="none" w:sz="0" w:space="0" w:color="auto"/>
        <w:right w:val="none" w:sz="0" w:space="0" w:color="auto"/>
      </w:divBdr>
    </w:div>
    <w:div w:id="97992263">
      <w:bodyDiv w:val="1"/>
      <w:marLeft w:val="0"/>
      <w:marRight w:val="0"/>
      <w:marTop w:val="0"/>
      <w:marBottom w:val="0"/>
      <w:divBdr>
        <w:top w:val="none" w:sz="0" w:space="0" w:color="auto"/>
        <w:left w:val="none" w:sz="0" w:space="0" w:color="auto"/>
        <w:bottom w:val="none" w:sz="0" w:space="0" w:color="auto"/>
        <w:right w:val="none" w:sz="0" w:space="0" w:color="auto"/>
      </w:divBdr>
    </w:div>
    <w:div w:id="99181452">
      <w:bodyDiv w:val="1"/>
      <w:marLeft w:val="0"/>
      <w:marRight w:val="0"/>
      <w:marTop w:val="0"/>
      <w:marBottom w:val="0"/>
      <w:divBdr>
        <w:top w:val="none" w:sz="0" w:space="0" w:color="auto"/>
        <w:left w:val="none" w:sz="0" w:space="0" w:color="auto"/>
        <w:bottom w:val="none" w:sz="0" w:space="0" w:color="auto"/>
        <w:right w:val="none" w:sz="0" w:space="0" w:color="auto"/>
      </w:divBdr>
    </w:div>
    <w:div w:id="113839037">
      <w:bodyDiv w:val="1"/>
      <w:marLeft w:val="0"/>
      <w:marRight w:val="0"/>
      <w:marTop w:val="0"/>
      <w:marBottom w:val="0"/>
      <w:divBdr>
        <w:top w:val="none" w:sz="0" w:space="0" w:color="auto"/>
        <w:left w:val="none" w:sz="0" w:space="0" w:color="auto"/>
        <w:bottom w:val="none" w:sz="0" w:space="0" w:color="auto"/>
        <w:right w:val="none" w:sz="0" w:space="0" w:color="auto"/>
      </w:divBdr>
    </w:div>
    <w:div w:id="134683952">
      <w:bodyDiv w:val="1"/>
      <w:marLeft w:val="0"/>
      <w:marRight w:val="0"/>
      <w:marTop w:val="0"/>
      <w:marBottom w:val="0"/>
      <w:divBdr>
        <w:top w:val="none" w:sz="0" w:space="0" w:color="auto"/>
        <w:left w:val="none" w:sz="0" w:space="0" w:color="auto"/>
        <w:bottom w:val="none" w:sz="0" w:space="0" w:color="auto"/>
        <w:right w:val="none" w:sz="0" w:space="0" w:color="auto"/>
      </w:divBdr>
    </w:div>
    <w:div w:id="142503436">
      <w:bodyDiv w:val="1"/>
      <w:marLeft w:val="0"/>
      <w:marRight w:val="0"/>
      <w:marTop w:val="0"/>
      <w:marBottom w:val="0"/>
      <w:divBdr>
        <w:top w:val="none" w:sz="0" w:space="0" w:color="auto"/>
        <w:left w:val="none" w:sz="0" w:space="0" w:color="auto"/>
        <w:bottom w:val="none" w:sz="0" w:space="0" w:color="auto"/>
        <w:right w:val="none" w:sz="0" w:space="0" w:color="auto"/>
      </w:divBdr>
    </w:div>
    <w:div w:id="158235634">
      <w:bodyDiv w:val="1"/>
      <w:marLeft w:val="0"/>
      <w:marRight w:val="0"/>
      <w:marTop w:val="0"/>
      <w:marBottom w:val="0"/>
      <w:divBdr>
        <w:top w:val="none" w:sz="0" w:space="0" w:color="auto"/>
        <w:left w:val="none" w:sz="0" w:space="0" w:color="auto"/>
        <w:bottom w:val="none" w:sz="0" w:space="0" w:color="auto"/>
        <w:right w:val="none" w:sz="0" w:space="0" w:color="auto"/>
      </w:divBdr>
    </w:div>
    <w:div w:id="163785666">
      <w:bodyDiv w:val="1"/>
      <w:marLeft w:val="0"/>
      <w:marRight w:val="0"/>
      <w:marTop w:val="0"/>
      <w:marBottom w:val="0"/>
      <w:divBdr>
        <w:top w:val="none" w:sz="0" w:space="0" w:color="auto"/>
        <w:left w:val="none" w:sz="0" w:space="0" w:color="auto"/>
        <w:bottom w:val="none" w:sz="0" w:space="0" w:color="auto"/>
        <w:right w:val="none" w:sz="0" w:space="0" w:color="auto"/>
      </w:divBdr>
    </w:div>
    <w:div w:id="214585519">
      <w:bodyDiv w:val="1"/>
      <w:marLeft w:val="0"/>
      <w:marRight w:val="0"/>
      <w:marTop w:val="0"/>
      <w:marBottom w:val="0"/>
      <w:divBdr>
        <w:top w:val="none" w:sz="0" w:space="0" w:color="auto"/>
        <w:left w:val="none" w:sz="0" w:space="0" w:color="auto"/>
        <w:bottom w:val="none" w:sz="0" w:space="0" w:color="auto"/>
        <w:right w:val="none" w:sz="0" w:space="0" w:color="auto"/>
      </w:divBdr>
    </w:div>
    <w:div w:id="233777908">
      <w:bodyDiv w:val="1"/>
      <w:marLeft w:val="0"/>
      <w:marRight w:val="0"/>
      <w:marTop w:val="0"/>
      <w:marBottom w:val="0"/>
      <w:divBdr>
        <w:top w:val="none" w:sz="0" w:space="0" w:color="auto"/>
        <w:left w:val="none" w:sz="0" w:space="0" w:color="auto"/>
        <w:bottom w:val="none" w:sz="0" w:space="0" w:color="auto"/>
        <w:right w:val="none" w:sz="0" w:space="0" w:color="auto"/>
      </w:divBdr>
    </w:div>
    <w:div w:id="286474739">
      <w:bodyDiv w:val="1"/>
      <w:marLeft w:val="0"/>
      <w:marRight w:val="0"/>
      <w:marTop w:val="0"/>
      <w:marBottom w:val="0"/>
      <w:divBdr>
        <w:top w:val="none" w:sz="0" w:space="0" w:color="auto"/>
        <w:left w:val="none" w:sz="0" w:space="0" w:color="auto"/>
        <w:bottom w:val="none" w:sz="0" w:space="0" w:color="auto"/>
        <w:right w:val="none" w:sz="0" w:space="0" w:color="auto"/>
      </w:divBdr>
    </w:div>
    <w:div w:id="288048723">
      <w:bodyDiv w:val="1"/>
      <w:marLeft w:val="0"/>
      <w:marRight w:val="0"/>
      <w:marTop w:val="0"/>
      <w:marBottom w:val="0"/>
      <w:divBdr>
        <w:top w:val="none" w:sz="0" w:space="0" w:color="auto"/>
        <w:left w:val="none" w:sz="0" w:space="0" w:color="auto"/>
        <w:bottom w:val="none" w:sz="0" w:space="0" w:color="auto"/>
        <w:right w:val="none" w:sz="0" w:space="0" w:color="auto"/>
      </w:divBdr>
    </w:div>
    <w:div w:id="293949114">
      <w:bodyDiv w:val="1"/>
      <w:marLeft w:val="0"/>
      <w:marRight w:val="0"/>
      <w:marTop w:val="0"/>
      <w:marBottom w:val="0"/>
      <w:divBdr>
        <w:top w:val="none" w:sz="0" w:space="0" w:color="auto"/>
        <w:left w:val="none" w:sz="0" w:space="0" w:color="auto"/>
        <w:bottom w:val="none" w:sz="0" w:space="0" w:color="auto"/>
        <w:right w:val="none" w:sz="0" w:space="0" w:color="auto"/>
      </w:divBdr>
    </w:div>
    <w:div w:id="332149455">
      <w:bodyDiv w:val="1"/>
      <w:marLeft w:val="0"/>
      <w:marRight w:val="0"/>
      <w:marTop w:val="0"/>
      <w:marBottom w:val="0"/>
      <w:divBdr>
        <w:top w:val="none" w:sz="0" w:space="0" w:color="auto"/>
        <w:left w:val="none" w:sz="0" w:space="0" w:color="auto"/>
        <w:bottom w:val="none" w:sz="0" w:space="0" w:color="auto"/>
        <w:right w:val="none" w:sz="0" w:space="0" w:color="auto"/>
      </w:divBdr>
    </w:div>
    <w:div w:id="348913989">
      <w:bodyDiv w:val="1"/>
      <w:marLeft w:val="0"/>
      <w:marRight w:val="0"/>
      <w:marTop w:val="0"/>
      <w:marBottom w:val="0"/>
      <w:divBdr>
        <w:top w:val="none" w:sz="0" w:space="0" w:color="auto"/>
        <w:left w:val="none" w:sz="0" w:space="0" w:color="auto"/>
        <w:bottom w:val="none" w:sz="0" w:space="0" w:color="auto"/>
        <w:right w:val="none" w:sz="0" w:space="0" w:color="auto"/>
      </w:divBdr>
    </w:div>
    <w:div w:id="366368506">
      <w:bodyDiv w:val="1"/>
      <w:marLeft w:val="0"/>
      <w:marRight w:val="0"/>
      <w:marTop w:val="0"/>
      <w:marBottom w:val="0"/>
      <w:divBdr>
        <w:top w:val="none" w:sz="0" w:space="0" w:color="auto"/>
        <w:left w:val="none" w:sz="0" w:space="0" w:color="auto"/>
        <w:bottom w:val="none" w:sz="0" w:space="0" w:color="auto"/>
        <w:right w:val="none" w:sz="0" w:space="0" w:color="auto"/>
      </w:divBdr>
    </w:div>
    <w:div w:id="372777448">
      <w:bodyDiv w:val="1"/>
      <w:marLeft w:val="0"/>
      <w:marRight w:val="0"/>
      <w:marTop w:val="0"/>
      <w:marBottom w:val="0"/>
      <w:divBdr>
        <w:top w:val="none" w:sz="0" w:space="0" w:color="auto"/>
        <w:left w:val="none" w:sz="0" w:space="0" w:color="auto"/>
        <w:bottom w:val="none" w:sz="0" w:space="0" w:color="auto"/>
        <w:right w:val="none" w:sz="0" w:space="0" w:color="auto"/>
      </w:divBdr>
    </w:div>
    <w:div w:id="375275338">
      <w:bodyDiv w:val="1"/>
      <w:marLeft w:val="0"/>
      <w:marRight w:val="0"/>
      <w:marTop w:val="0"/>
      <w:marBottom w:val="0"/>
      <w:divBdr>
        <w:top w:val="none" w:sz="0" w:space="0" w:color="auto"/>
        <w:left w:val="none" w:sz="0" w:space="0" w:color="auto"/>
        <w:bottom w:val="none" w:sz="0" w:space="0" w:color="auto"/>
        <w:right w:val="none" w:sz="0" w:space="0" w:color="auto"/>
      </w:divBdr>
    </w:div>
    <w:div w:id="427040511">
      <w:bodyDiv w:val="1"/>
      <w:marLeft w:val="0"/>
      <w:marRight w:val="0"/>
      <w:marTop w:val="0"/>
      <w:marBottom w:val="0"/>
      <w:divBdr>
        <w:top w:val="none" w:sz="0" w:space="0" w:color="auto"/>
        <w:left w:val="none" w:sz="0" w:space="0" w:color="auto"/>
        <w:bottom w:val="none" w:sz="0" w:space="0" w:color="auto"/>
        <w:right w:val="none" w:sz="0" w:space="0" w:color="auto"/>
      </w:divBdr>
    </w:div>
    <w:div w:id="453599596">
      <w:bodyDiv w:val="1"/>
      <w:marLeft w:val="0"/>
      <w:marRight w:val="0"/>
      <w:marTop w:val="0"/>
      <w:marBottom w:val="0"/>
      <w:divBdr>
        <w:top w:val="none" w:sz="0" w:space="0" w:color="auto"/>
        <w:left w:val="none" w:sz="0" w:space="0" w:color="auto"/>
        <w:bottom w:val="none" w:sz="0" w:space="0" w:color="auto"/>
        <w:right w:val="none" w:sz="0" w:space="0" w:color="auto"/>
      </w:divBdr>
    </w:div>
    <w:div w:id="460881592">
      <w:bodyDiv w:val="1"/>
      <w:marLeft w:val="0"/>
      <w:marRight w:val="0"/>
      <w:marTop w:val="0"/>
      <w:marBottom w:val="0"/>
      <w:divBdr>
        <w:top w:val="none" w:sz="0" w:space="0" w:color="auto"/>
        <w:left w:val="none" w:sz="0" w:space="0" w:color="auto"/>
        <w:bottom w:val="none" w:sz="0" w:space="0" w:color="auto"/>
        <w:right w:val="none" w:sz="0" w:space="0" w:color="auto"/>
      </w:divBdr>
    </w:div>
    <w:div w:id="473261501">
      <w:bodyDiv w:val="1"/>
      <w:marLeft w:val="0"/>
      <w:marRight w:val="0"/>
      <w:marTop w:val="0"/>
      <w:marBottom w:val="0"/>
      <w:divBdr>
        <w:top w:val="none" w:sz="0" w:space="0" w:color="auto"/>
        <w:left w:val="none" w:sz="0" w:space="0" w:color="auto"/>
        <w:bottom w:val="none" w:sz="0" w:space="0" w:color="auto"/>
        <w:right w:val="none" w:sz="0" w:space="0" w:color="auto"/>
      </w:divBdr>
    </w:div>
    <w:div w:id="502664401">
      <w:bodyDiv w:val="1"/>
      <w:marLeft w:val="0"/>
      <w:marRight w:val="0"/>
      <w:marTop w:val="0"/>
      <w:marBottom w:val="0"/>
      <w:divBdr>
        <w:top w:val="none" w:sz="0" w:space="0" w:color="auto"/>
        <w:left w:val="none" w:sz="0" w:space="0" w:color="auto"/>
        <w:bottom w:val="none" w:sz="0" w:space="0" w:color="auto"/>
        <w:right w:val="none" w:sz="0" w:space="0" w:color="auto"/>
      </w:divBdr>
    </w:div>
    <w:div w:id="542908776">
      <w:bodyDiv w:val="1"/>
      <w:marLeft w:val="0"/>
      <w:marRight w:val="0"/>
      <w:marTop w:val="0"/>
      <w:marBottom w:val="0"/>
      <w:divBdr>
        <w:top w:val="none" w:sz="0" w:space="0" w:color="auto"/>
        <w:left w:val="none" w:sz="0" w:space="0" w:color="auto"/>
        <w:bottom w:val="none" w:sz="0" w:space="0" w:color="auto"/>
        <w:right w:val="none" w:sz="0" w:space="0" w:color="auto"/>
      </w:divBdr>
    </w:div>
    <w:div w:id="568539011">
      <w:bodyDiv w:val="1"/>
      <w:marLeft w:val="0"/>
      <w:marRight w:val="0"/>
      <w:marTop w:val="0"/>
      <w:marBottom w:val="0"/>
      <w:divBdr>
        <w:top w:val="none" w:sz="0" w:space="0" w:color="auto"/>
        <w:left w:val="none" w:sz="0" w:space="0" w:color="auto"/>
        <w:bottom w:val="none" w:sz="0" w:space="0" w:color="auto"/>
        <w:right w:val="none" w:sz="0" w:space="0" w:color="auto"/>
      </w:divBdr>
    </w:div>
    <w:div w:id="580523554">
      <w:bodyDiv w:val="1"/>
      <w:marLeft w:val="0"/>
      <w:marRight w:val="0"/>
      <w:marTop w:val="0"/>
      <w:marBottom w:val="0"/>
      <w:divBdr>
        <w:top w:val="none" w:sz="0" w:space="0" w:color="auto"/>
        <w:left w:val="none" w:sz="0" w:space="0" w:color="auto"/>
        <w:bottom w:val="none" w:sz="0" w:space="0" w:color="auto"/>
        <w:right w:val="none" w:sz="0" w:space="0" w:color="auto"/>
      </w:divBdr>
    </w:div>
    <w:div w:id="630863012">
      <w:bodyDiv w:val="1"/>
      <w:marLeft w:val="0"/>
      <w:marRight w:val="0"/>
      <w:marTop w:val="0"/>
      <w:marBottom w:val="0"/>
      <w:divBdr>
        <w:top w:val="none" w:sz="0" w:space="0" w:color="auto"/>
        <w:left w:val="none" w:sz="0" w:space="0" w:color="auto"/>
        <w:bottom w:val="none" w:sz="0" w:space="0" w:color="auto"/>
        <w:right w:val="none" w:sz="0" w:space="0" w:color="auto"/>
      </w:divBdr>
    </w:div>
    <w:div w:id="638262804">
      <w:bodyDiv w:val="1"/>
      <w:marLeft w:val="0"/>
      <w:marRight w:val="0"/>
      <w:marTop w:val="0"/>
      <w:marBottom w:val="0"/>
      <w:divBdr>
        <w:top w:val="none" w:sz="0" w:space="0" w:color="auto"/>
        <w:left w:val="none" w:sz="0" w:space="0" w:color="auto"/>
        <w:bottom w:val="none" w:sz="0" w:space="0" w:color="auto"/>
        <w:right w:val="none" w:sz="0" w:space="0" w:color="auto"/>
      </w:divBdr>
    </w:div>
    <w:div w:id="690297066">
      <w:bodyDiv w:val="1"/>
      <w:marLeft w:val="0"/>
      <w:marRight w:val="0"/>
      <w:marTop w:val="0"/>
      <w:marBottom w:val="0"/>
      <w:divBdr>
        <w:top w:val="none" w:sz="0" w:space="0" w:color="auto"/>
        <w:left w:val="none" w:sz="0" w:space="0" w:color="auto"/>
        <w:bottom w:val="none" w:sz="0" w:space="0" w:color="auto"/>
        <w:right w:val="none" w:sz="0" w:space="0" w:color="auto"/>
      </w:divBdr>
    </w:div>
    <w:div w:id="708919680">
      <w:bodyDiv w:val="1"/>
      <w:marLeft w:val="0"/>
      <w:marRight w:val="0"/>
      <w:marTop w:val="0"/>
      <w:marBottom w:val="0"/>
      <w:divBdr>
        <w:top w:val="none" w:sz="0" w:space="0" w:color="auto"/>
        <w:left w:val="none" w:sz="0" w:space="0" w:color="auto"/>
        <w:bottom w:val="none" w:sz="0" w:space="0" w:color="auto"/>
        <w:right w:val="none" w:sz="0" w:space="0" w:color="auto"/>
      </w:divBdr>
    </w:div>
    <w:div w:id="727806534">
      <w:bodyDiv w:val="1"/>
      <w:marLeft w:val="0"/>
      <w:marRight w:val="0"/>
      <w:marTop w:val="0"/>
      <w:marBottom w:val="0"/>
      <w:divBdr>
        <w:top w:val="none" w:sz="0" w:space="0" w:color="auto"/>
        <w:left w:val="none" w:sz="0" w:space="0" w:color="auto"/>
        <w:bottom w:val="none" w:sz="0" w:space="0" w:color="auto"/>
        <w:right w:val="none" w:sz="0" w:space="0" w:color="auto"/>
      </w:divBdr>
    </w:div>
    <w:div w:id="750201208">
      <w:bodyDiv w:val="1"/>
      <w:marLeft w:val="0"/>
      <w:marRight w:val="0"/>
      <w:marTop w:val="0"/>
      <w:marBottom w:val="0"/>
      <w:divBdr>
        <w:top w:val="none" w:sz="0" w:space="0" w:color="auto"/>
        <w:left w:val="none" w:sz="0" w:space="0" w:color="auto"/>
        <w:bottom w:val="none" w:sz="0" w:space="0" w:color="auto"/>
        <w:right w:val="none" w:sz="0" w:space="0" w:color="auto"/>
      </w:divBdr>
    </w:div>
    <w:div w:id="814568776">
      <w:bodyDiv w:val="1"/>
      <w:marLeft w:val="0"/>
      <w:marRight w:val="0"/>
      <w:marTop w:val="0"/>
      <w:marBottom w:val="0"/>
      <w:divBdr>
        <w:top w:val="none" w:sz="0" w:space="0" w:color="auto"/>
        <w:left w:val="none" w:sz="0" w:space="0" w:color="auto"/>
        <w:bottom w:val="none" w:sz="0" w:space="0" w:color="auto"/>
        <w:right w:val="none" w:sz="0" w:space="0" w:color="auto"/>
      </w:divBdr>
    </w:div>
    <w:div w:id="834413384">
      <w:bodyDiv w:val="1"/>
      <w:marLeft w:val="0"/>
      <w:marRight w:val="0"/>
      <w:marTop w:val="0"/>
      <w:marBottom w:val="0"/>
      <w:divBdr>
        <w:top w:val="none" w:sz="0" w:space="0" w:color="auto"/>
        <w:left w:val="none" w:sz="0" w:space="0" w:color="auto"/>
        <w:bottom w:val="none" w:sz="0" w:space="0" w:color="auto"/>
        <w:right w:val="none" w:sz="0" w:space="0" w:color="auto"/>
      </w:divBdr>
    </w:div>
    <w:div w:id="871649534">
      <w:bodyDiv w:val="1"/>
      <w:marLeft w:val="0"/>
      <w:marRight w:val="0"/>
      <w:marTop w:val="0"/>
      <w:marBottom w:val="0"/>
      <w:divBdr>
        <w:top w:val="none" w:sz="0" w:space="0" w:color="auto"/>
        <w:left w:val="none" w:sz="0" w:space="0" w:color="auto"/>
        <w:bottom w:val="none" w:sz="0" w:space="0" w:color="auto"/>
        <w:right w:val="none" w:sz="0" w:space="0" w:color="auto"/>
      </w:divBdr>
    </w:div>
    <w:div w:id="901869578">
      <w:bodyDiv w:val="1"/>
      <w:marLeft w:val="0"/>
      <w:marRight w:val="0"/>
      <w:marTop w:val="0"/>
      <w:marBottom w:val="0"/>
      <w:divBdr>
        <w:top w:val="none" w:sz="0" w:space="0" w:color="auto"/>
        <w:left w:val="none" w:sz="0" w:space="0" w:color="auto"/>
        <w:bottom w:val="none" w:sz="0" w:space="0" w:color="auto"/>
        <w:right w:val="none" w:sz="0" w:space="0" w:color="auto"/>
      </w:divBdr>
    </w:div>
    <w:div w:id="947083407">
      <w:bodyDiv w:val="1"/>
      <w:marLeft w:val="0"/>
      <w:marRight w:val="0"/>
      <w:marTop w:val="0"/>
      <w:marBottom w:val="0"/>
      <w:divBdr>
        <w:top w:val="none" w:sz="0" w:space="0" w:color="auto"/>
        <w:left w:val="none" w:sz="0" w:space="0" w:color="auto"/>
        <w:bottom w:val="none" w:sz="0" w:space="0" w:color="auto"/>
        <w:right w:val="none" w:sz="0" w:space="0" w:color="auto"/>
      </w:divBdr>
    </w:div>
    <w:div w:id="949777031">
      <w:bodyDiv w:val="1"/>
      <w:marLeft w:val="0"/>
      <w:marRight w:val="0"/>
      <w:marTop w:val="0"/>
      <w:marBottom w:val="0"/>
      <w:divBdr>
        <w:top w:val="none" w:sz="0" w:space="0" w:color="auto"/>
        <w:left w:val="none" w:sz="0" w:space="0" w:color="auto"/>
        <w:bottom w:val="none" w:sz="0" w:space="0" w:color="auto"/>
        <w:right w:val="none" w:sz="0" w:space="0" w:color="auto"/>
      </w:divBdr>
    </w:div>
    <w:div w:id="950430696">
      <w:bodyDiv w:val="1"/>
      <w:marLeft w:val="0"/>
      <w:marRight w:val="0"/>
      <w:marTop w:val="0"/>
      <w:marBottom w:val="0"/>
      <w:divBdr>
        <w:top w:val="none" w:sz="0" w:space="0" w:color="auto"/>
        <w:left w:val="none" w:sz="0" w:space="0" w:color="auto"/>
        <w:bottom w:val="none" w:sz="0" w:space="0" w:color="auto"/>
        <w:right w:val="none" w:sz="0" w:space="0" w:color="auto"/>
      </w:divBdr>
    </w:div>
    <w:div w:id="1021203124">
      <w:bodyDiv w:val="1"/>
      <w:marLeft w:val="0"/>
      <w:marRight w:val="0"/>
      <w:marTop w:val="0"/>
      <w:marBottom w:val="0"/>
      <w:divBdr>
        <w:top w:val="none" w:sz="0" w:space="0" w:color="auto"/>
        <w:left w:val="none" w:sz="0" w:space="0" w:color="auto"/>
        <w:bottom w:val="none" w:sz="0" w:space="0" w:color="auto"/>
        <w:right w:val="none" w:sz="0" w:space="0" w:color="auto"/>
      </w:divBdr>
    </w:div>
    <w:div w:id="1056976006">
      <w:bodyDiv w:val="1"/>
      <w:marLeft w:val="0"/>
      <w:marRight w:val="0"/>
      <w:marTop w:val="0"/>
      <w:marBottom w:val="0"/>
      <w:divBdr>
        <w:top w:val="none" w:sz="0" w:space="0" w:color="auto"/>
        <w:left w:val="none" w:sz="0" w:space="0" w:color="auto"/>
        <w:bottom w:val="none" w:sz="0" w:space="0" w:color="auto"/>
        <w:right w:val="none" w:sz="0" w:space="0" w:color="auto"/>
      </w:divBdr>
    </w:div>
    <w:div w:id="1058481722">
      <w:bodyDiv w:val="1"/>
      <w:marLeft w:val="0"/>
      <w:marRight w:val="0"/>
      <w:marTop w:val="0"/>
      <w:marBottom w:val="0"/>
      <w:divBdr>
        <w:top w:val="none" w:sz="0" w:space="0" w:color="auto"/>
        <w:left w:val="none" w:sz="0" w:space="0" w:color="auto"/>
        <w:bottom w:val="none" w:sz="0" w:space="0" w:color="auto"/>
        <w:right w:val="none" w:sz="0" w:space="0" w:color="auto"/>
      </w:divBdr>
    </w:div>
    <w:div w:id="1068500059">
      <w:bodyDiv w:val="1"/>
      <w:marLeft w:val="0"/>
      <w:marRight w:val="0"/>
      <w:marTop w:val="0"/>
      <w:marBottom w:val="0"/>
      <w:divBdr>
        <w:top w:val="none" w:sz="0" w:space="0" w:color="auto"/>
        <w:left w:val="none" w:sz="0" w:space="0" w:color="auto"/>
        <w:bottom w:val="none" w:sz="0" w:space="0" w:color="auto"/>
        <w:right w:val="none" w:sz="0" w:space="0" w:color="auto"/>
      </w:divBdr>
    </w:div>
    <w:div w:id="1092631391">
      <w:bodyDiv w:val="1"/>
      <w:marLeft w:val="0"/>
      <w:marRight w:val="0"/>
      <w:marTop w:val="0"/>
      <w:marBottom w:val="0"/>
      <w:divBdr>
        <w:top w:val="none" w:sz="0" w:space="0" w:color="auto"/>
        <w:left w:val="none" w:sz="0" w:space="0" w:color="auto"/>
        <w:bottom w:val="none" w:sz="0" w:space="0" w:color="auto"/>
        <w:right w:val="none" w:sz="0" w:space="0" w:color="auto"/>
      </w:divBdr>
    </w:div>
    <w:div w:id="1111634273">
      <w:bodyDiv w:val="1"/>
      <w:marLeft w:val="0"/>
      <w:marRight w:val="0"/>
      <w:marTop w:val="0"/>
      <w:marBottom w:val="0"/>
      <w:divBdr>
        <w:top w:val="none" w:sz="0" w:space="0" w:color="auto"/>
        <w:left w:val="none" w:sz="0" w:space="0" w:color="auto"/>
        <w:bottom w:val="none" w:sz="0" w:space="0" w:color="auto"/>
        <w:right w:val="none" w:sz="0" w:space="0" w:color="auto"/>
      </w:divBdr>
    </w:div>
    <w:div w:id="1124690820">
      <w:bodyDiv w:val="1"/>
      <w:marLeft w:val="0"/>
      <w:marRight w:val="0"/>
      <w:marTop w:val="0"/>
      <w:marBottom w:val="0"/>
      <w:divBdr>
        <w:top w:val="none" w:sz="0" w:space="0" w:color="auto"/>
        <w:left w:val="none" w:sz="0" w:space="0" w:color="auto"/>
        <w:bottom w:val="none" w:sz="0" w:space="0" w:color="auto"/>
        <w:right w:val="none" w:sz="0" w:space="0" w:color="auto"/>
      </w:divBdr>
    </w:div>
    <w:div w:id="1151823901">
      <w:bodyDiv w:val="1"/>
      <w:marLeft w:val="0"/>
      <w:marRight w:val="0"/>
      <w:marTop w:val="0"/>
      <w:marBottom w:val="0"/>
      <w:divBdr>
        <w:top w:val="none" w:sz="0" w:space="0" w:color="auto"/>
        <w:left w:val="none" w:sz="0" w:space="0" w:color="auto"/>
        <w:bottom w:val="none" w:sz="0" w:space="0" w:color="auto"/>
        <w:right w:val="none" w:sz="0" w:space="0" w:color="auto"/>
      </w:divBdr>
    </w:div>
    <w:div w:id="1162962452">
      <w:bodyDiv w:val="1"/>
      <w:marLeft w:val="0"/>
      <w:marRight w:val="0"/>
      <w:marTop w:val="0"/>
      <w:marBottom w:val="0"/>
      <w:divBdr>
        <w:top w:val="none" w:sz="0" w:space="0" w:color="auto"/>
        <w:left w:val="none" w:sz="0" w:space="0" w:color="auto"/>
        <w:bottom w:val="none" w:sz="0" w:space="0" w:color="auto"/>
        <w:right w:val="none" w:sz="0" w:space="0" w:color="auto"/>
      </w:divBdr>
    </w:div>
    <w:div w:id="1167019666">
      <w:bodyDiv w:val="1"/>
      <w:marLeft w:val="0"/>
      <w:marRight w:val="0"/>
      <w:marTop w:val="0"/>
      <w:marBottom w:val="0"/>
      <w:divBdr>
        <w:top w:val="none" w:sz="0" w:space="0" w:color="auto"/>
        <w:left w:val="none" w:sz="0" w:space="0" w:color="auto"/>
        <w:bottom w:val="none" w:sz="0" w:space="0" w:color="auto"/>
        <w:right w:val="none" w:sz="0" w:space="0" w:color="auto"/>
      </w:divBdr>
    </w:div>
    <w:div w:id="1184973114">
      <w:bodyDiv w:val="1"/>
      <w:marLeft w:val="0"/>
      <w:marRight w:val="0"/>
      <w:marTop w:val="0"/>
      <w:marBottom w:val="0"/>
      <w:divBdr>
        <w:top w:val="none" w:sz="0" w:space="0" w:color="auto"/>
        <w:left w:val="none" w:sz="0" w:space="0" w:color="auto"/>
        <w:bottom w:val="none" w:sz="0" w:space="0" w:color="auto"/>
        <w:right w:val="none" w:sz="0" w:space="0" w:color="auto"/>
      </w:divBdr>
    </w:div>
    <w:div w:id="1195846487">
      <w:bodyDiv w:val="1"/>
      <w:marLeft w:val="0"/>
      <w:marRight w:val="0"/>
      <w:marTop w:val="0"/>
      <w:marBottom w:val="0"/>
      <w:divBdr>
        <w:top w:val="none" w:sz="0" w:space="0" w:color="auto"/>
        <w:left w:val="none" w:sz="0" w:space="0" w:color="auto"/>
        <w:bottom w:val="none" w:sz="0" w:space="0" w:color="auto"/>
        <w:right w:val="none" w:sz="0" w:space="0" w:color="auto"/>
      </w:divBdr>
    </w:div>
    <w:div w:id="1204289692">
      <w:bodyDiv w:val="1"/>
      <w:marLeft w:val="0"/>
      <w:marRight w:val="0"/>
      <w:marTop w:val="0"/>
      <w:marBottom w:val="0"/>
      <w:divBdr>
        <w:top w:val="none" w:sz="0" w:space="0" w:color="auto"/>
        <w:left w:val="none" w:sz="0" w:space="0" w:color="auto"/>
        <w:bottom w:val="none" w:sz="0" w:space="0" w:color="auto"/>
        <w:right w:val="none" w:sz="0" w:space="0" w:color="auto"/>
      </w:divBdr>
    </w:div>
    <w:div w:id="1207644269">
      <w:bodyDiv w:val="1"/>
      <w:marLeft w:val="0"/>
      <w:marRight w:val="0"/>
      <w:marTop w:val="0"/>
      <w:marBottom w:val="0"/>
      <w:divBdr>
        <w:top w:val="none" w:sz="0" w:space="0" w:color="auto"/>
        <w:left w:val="none" w:sz="0" w:space="0" w:color="auto"/>
        <w:bottom w:val="none" w:sz="0" w:space="0" w:color="auto"/>
        <w:right w:val="none" w:sz="0" w:space="0" w:color="auto"/>
      </w:divBdr>
    </w:div>
    <w:div w:id="1256862191">
      <w:bodyDiv w:val="1"/>
      <w:marLeft w:val="0"/>
      <w:marRight w:val="0"/>
      <w:marTop w:val="0"/>
      <w:marBottom w:val="0"/>
      <w:divBdr>
        <w:top w:val="none" w:sz="0" w:space="0" w:color="auto"/>
        <w:left w:val="none" w:sz="0" w:space="0" w:color="auto"/>
        <w:bottom w:val="none" w:sz="0" w:space="0" w:color="auto"/>
        <w:right w:val="none" w:sz="0" w:space="0" w:color="auto"/>
      </w:divBdr>
    </w:div>
    <w:div w:id="1257787048">
      <w:bodyDiv w:val="1"/>
      <w:marLeft w:val="0"/>
      <w:marRight w:val="0"/>
      <w:marTop w:val="0"/>
      <w:marBottom w:val="0"/>
      <w:divBdr>
        <w:top w:val="none" w:sz="0" w:space="0" w:color="auto"/>
        <w:left w:val="none" w:sz="0" w:space="0" w:color="auto"/>
        <w:bottom w:val="none" w:sz="0" w:space="0" w:color="auto"/>
        <w:right w:val="none" w:sz="0" w:space="0" w:color="auto"/>
      </w:divBdr>
    </w:div>
    <w:div w:id="1258291505">
      <w:bodyDiv w:val="1"/>
      <w:marLeft w:val="0"/>
      <w:marRight w:val="0"/>
      <w:marTop w:val="0"/>
      <w:marBottom w:val="0"/>
      <w:divBdr>
        <w:top w:val="none" w:sz="0" w:space="0" w:color="auto"/>
        <w:left w:val="none" w:sz="0" w:space="0" w:color="auto"/>
        <w:bottom w:val="none" w:sz="0" w:space="0" w:color="auto"/>
        <w:right w:val="none" w:sz="0" w:space="0" w:color="auto"/>
      </w:divBdr>
    </w:div>
    <w:div w:id="1266230243">
      <w:bodyDiv w:val="1"/>
      <w:marLeft w:val="0"/>
      <w:marRight w:val="0"/>
      <w:marTop w:val="0"/>
      <w:marBottom w:val="0"/>
      <w:divBdr>
        <w:top w:val="none" w:sz="0" w:space="0" w:color="auto"/>
        <w:left w:val="none" w:sz="0" w:space="0" w:color="auto"/>
        <w:bottom w:val="none" w:sz="0" w:space="0" w:color="auto"/>
        <w:right w:val="none" w:sz="0" w:space="0" w:color="auto"/>
      </w:divBdr>
    </w:div>
    <w:div w:id="1290934188">
      <w:bodyDiv w:val="1"/>
      <w:marLeft w:val="0"/>
      <w:marRight w:val="0"/>
      <w:marTop w:val="0"/>
      <w:marBottom w:val="0"/>
      <w:divBdr>
        <w:top w:val="none" w:sz="0" w:space="0" w:color="auto"/>
        <w:left w:val="none" w:sz="0" w:space="0" w:color="auto"/>
        <w:bottom w:val="none" w:sz="0" w:space="0" w:color="auto"/>
        <w:right w:val="none" w:sz="0" w:space="0" w:color="auto"/>
      </w:divBdr>
    </w:div>
    <w:div w:id="1359889357">
      <w:bodyDiv w:val="1"/>
      <w:marLeft w:val="0"/>
      <w:marRight w:val="0"/>
      <w:marTop w:val="0"/>
      <w:marBottom w:val="0"/>
      <w:divBdr>
        <w:top w:val="none" w:sz="0" w:space="0" w:color="auto"/>
        <w:left w:val="none" w:sz="0" w:space="0" w:color="auto"/>
        <w:bottom w:val="none" w:sz="0" w:space="0" w:color="auto"/>
        <w:right w:val="none" w:sz="0" w:space="0" w:color="auto"/>
      </w:divBdr>
    </w:div>
    <w:div w:id="1373772809">
      <w:bodyDiv w:val="1"/>
      <w:marLeft w:val="0"/>
      <w:marRight w:val="0"/>
      <w:marTop w:val="0"/>
      <w:marBottom w:val="0"/>
      <w:divBdr>
        <w:top w:val="none" w:sz="0" w:space="0" w:color="auto"/>
        <w:left w:val="none" w:sz="0" w:space="0" w:color="auto"/>
        <w:bottom w:val="none" w:sz="0" w:space="0" w:color="auto"/>
        <w:right w:val="none" w:sz="0" w:space="0" w:color="auto"/>
      </w:divBdr>
    </w:div>
    <w:div w:id="1398437027">
      <w:bodyDiv w:val="1"/>
      <w:marLeft w:val="0"/>
      <w:marRight w:val="0"/>
      <w:marTop w:val="0"/>
      <w:marBottom w:val="0"/>
      <w:divBdr>
        <w:top w:val="none" w:sz="0" w:space="0" w:color="auto"/>
        <w:left w:val="none" w:sz="0" w:space="0" w:color="auto"/>
        <w:bottom w:val="none" w:sz="0" w:space="0" w:color="auto"/>
        <w:right w:val="none" w:sz="0" w:space="0" w:color="auto"/>
      </w:divBdr>
    </w:div>
    <w:div w:id="1411930619">
      <w:bodyDiv w:val="1"/>
      <w:marLeft w:val="0"/>
      <w:marRight w:val="0"/>
      <w:marTop w:val="0"/>
      <w:marBottom w:val="0"/>
      <w:divBdr>
        <w:top w:val="none" w:sz="0" w:space="0" w:color="auto"/>
        <w:left w:val="none" w:sz="0" w:space="0" w:color="auto"/>
        <w:bottom w:val="none" w:sz="0" w:space="0" w:color="auto"/>
        <w:right w:val="none" w:sz="0" w:space="0" w:color="auto"/>
      </w:divBdr>
    </w:div>
    <w:div w:id="1412388965">
      <w:bodyDiv w:val="1"/>
      <w:marLeft w:val="0"/>
      <w:marRight w:val="0"/>
      <w:marTop w:val="0"/>
      <w:marBottom w:val="0"/>
      <w:divBdr>
        <w:top w:val="none" w:sz="0" w:space="0" w:color="auto"/>
        <w:left w:val="none" w:sz="0" w:space="0" w:color="auto"/>
        <w:bottom w:val="none" w:sz="0" w:space="0" w:color="auto"/>
        <w:right w:val="none" w:sz="0" w:space="0" w:color="auto"/>
      </w:divBdr>
    </w:div>
    <w:div w:id="1466584550">
      <w:bodyDiv w:val="1"/>
      <w:marLeft w:val="0"/>
      <w:marRight w:val="0"/>
      <w:marTop w:val="0"/>
      <w:marBottom w:val="0"/>
      <w:divBdr>
        <w:top w:val="none" w:sz="0" w:space="0" w:color="auto"/>
        <w:left w:val="none" w:sz="0" w:space="0" w:color="auto"/>
        <w:bottom w:val="none" w:sz="0" w:space="0" w:color="auto"/>
        <w:right w:val="none" w:sz="0" w:space="0" w:color="auto"/>
      </w:divBdr>
    </w:div>
    <w:div w:id="1475368406">
      <w:bodyDiv w:val="1"/>
      <w:marLeft w:val="0"/>
      <w:marRight w:val="0"/>
      <w:marTop w:val="0"/>
      <w:marBottom w:val="0"/>
      <w:divBdr>
        <w:top w:val="none" w:sz="0" w:space="0" w:color="auto"/>
        <w:left w:val="none" w:sz="0" w:space="0" w:color="auto"/>
        <w:bottom w:val="none" w:sz="0" w:space="0" w:color="auto"/>
        <w:right w:val="none" w:sz="0" w:space="0" w:color="auto"/>
      </w:divBdr>
    </w:div>
    <w:div w:id="1481848860">
      <w:bodyDiv w:val="1"/>
      <w:marLeft w:val="0"/>
      <w:marRight w:val="0"/>
      <w:marTop w:val="0"/>
      <w:marBottom w:val="0"/>
      <w:divBdr>
        <w:top w:val="none" w:sz="0" w:space="0" w:color="auto"/>
        <w:left w:val="none" w:sz="0" w:space="0" w:color="auto"/>
        <w:bottom w:val="none" w:sz="0" w:space="0" w:color="auto"/>
        <w:right w:val="none" w:sz="0" w:space="0" w:color="auto"/>
      </w:divBdr>
    </w:div>
    <w:div w:id="1486629432">
      <w:bodyDiv w:val="1"/>
      <w:marLeft w:val="0"/>
      <w:marRight w:val="0"/>
      <w:marTop w:val="0"/>
      <w:marBottom w:val="0"/>
      <w:divBdr>
        <w:top w:val="none" w:sz="0" w:space="0" w:color="auto"/>
        <w:left w:val="none" w:sz="0" w:space="0" w:color="auto"/>
        <w:bottom w:val="none" w:sz="0" w:space="0" w:color="auto"/>
        <w:right w:val="none" w:sz="0" w:space="0" w:color="auto"/>
      </w:divBdr>
    </w:div>
    <w:div w:id="1497381197">
      <w:bodyDiv w:val="1"/>
      <w:marLeft w:val="0"/>
      <w:marRight w:val="0"/>
      <w:marTop w:val="0"/>
      <w:marBottom w:val="0"/>
      <w:divBdr>
        <w:top w:val="none" w:sz="0" w:space="0" w:color="auto"/>
        <w:left w:val="none" w:sz="0" w:space="0" w:color="auto"/>
        <w:bottom w:val="none" w:sz="0" w:space="0" w:color="auto"/>
        <w:right w:val="none" w:sz="0" w:space="0" w:color="auto"/>
      </w:divBdr>
    </w:div>
    <w:div w:id="1535578008">
      <w:bodyDiv w:val="1"/>
      <w:marLeft w:val="0"/>
      <w:marRight w:val="0"/>
      <w:marTop w:val="0"/>
      <w:marBottom w:val="0"/>
      <w:divBdr>
        <w:top w:val="none" w:sz="0" w:space="0" w:color="auto"/>
        <w:left w:val="none" w:sz="0" w:space="0" w:color="auto"/>
        <w:bottom w:val="none" w:sz="0" w:space="0" w:color="auto"/>
        <w:right w:val="none" w:sz="0" w:space="0" w:color="auto"/>
      </w:divBdr>
    </w:div>
    <w:div w:id="1553419425">
      <w:bodyDiv w:val="1"/>
      <w:marLeft w:val="0"/>
      <w:marRight w:val="0"/>
      <w:marTop w:val="0"/>
      <w:marBottom w:val="0"/>
      <w:divBdr>
        <w:top w:val="none" w:sz="0" w:space="0" w:color="auto"/>
        <w:left w:val="none" w:sz="0" w:space="0" w:color="auto"/>
        <w:bottom w:val="none" w:sz="0" w:space="0" w:color="auto"/>
        <w:right w:val="none" w:sz="0" w:space="0" w:color="auto"/>
      </w:divBdr>
    </w:div>
    <w:div w:id="1566067045">
      <w:bodyDiv w:val="1"/>
      <w:marLeft w:val="0"/>
      <w:marRight w:val="0"/>
      <w:marTop w:val="0"/>
      <w:marBottom w:val="0"/>
      <w:divBdr>
        <w:top w:val="none" w:sz="0" w:space="0" w:color="auto"/>
        <w:left w:val="none" w:sz="0" w:space="0" w:color="auto"/>
        <w:bottom w:val="none" w:sz="0" w:space="0" w:color="auto"/>
        <w:right w:val="none" w:sz="0" w:space="0" w:color="auto"/>
      </w:divBdr>
    </w:div>
    <w:div w:id="1575237197">
      <w:bodyDiv w:val="1"/>
      <w:marLeft w:val="0"/>
      <w:marRight w:val="0"/>
      <w:marTop w:val="0"/>
      <w:marBottom w:val="0"/>
      <w:divBdr>
        <w:top w:val="none" w:sz="0" w:space="0" w:color="auto"/>
        <w:left w:val="none" w:sz="0" w:space="0" w:color="auto"/>
        <w:bottom w:val="none" w:sz="0" w:space="0" w:color="auto"/>
        <w:right w:val="none" w:sz="0" w:space="0" w:color="auto"/>
      </w:divBdr>
    </w:div>
    <w:div w:id="1578320671">
      <w:bodyDiv w:val="1"/>
      <w:marLeft w:val="0"/>
      <w:marRight w:val="0"/>
      <w:marTop w:val="0"/>
      <w:marBottom w:val="0"/>
      <w:divBdr>
        <w:top w:val="none" w:sz="0" w:space="0" w:color="auto"/>
        <w:left w:val="none" w:sz="0" w:space="0" w:color="auto"/>
        <w:bottom w:val="none" w:sz="0" w:space="0" w:color="auto"/>
        <w:right w:val="none" w:sz="0" w:space="0" w:color="auto"/>
      </w:divBdr>
    </w:div>
    <w:div w:id="1635066767">
      <w:bodyDiv w:val="1"/>
      <w:marLeft w:val="0"/>
      <w:marRight w:val="0"/>
      <w:marTop w:val="0"/>
      <w:marBottom w:val="0"/>
      <w:divBdr>
        <w:top w:val="none" w:sz="0" w:space="0" w:color="auto"/>
        <w:left w:val="none" w:sz="0" w:space="0" w:color="auto"/>
        <w:bottom w:val="none" w:sz="0" w:space="0" w:color="auto"/>
        <w:right w:val="none" w:sz="0" w:space="0" w:color="auto"/>
      </w:divBdr>
    </w:div>
    <w:div w:id="1666980097">
      <w:bodyDiv w:val="1"/>
      <w:marLeft w:val="0"/>
      <w:marRight w:val="0"/>
      <w:marTop w:val="0"/>
      <w:marBottom w:val="0"/>
      <w:divBdr>
        <w:top w:val="none" w:sz="0" w:space="0" w:color="auto"/>
        <w:left w:val="none" w:sz="0" w:space="0" w:color="auto"/>
        <w:bottom w:val="none" w:sz="0" w:space="0" w:color="auto"/>
        <w:right w:val="none" w:sz="0" w:space="0" w:color="auto"/>
      </w:divBdr>
    </w:div>
    <w:div w:id="1683823232">
      <w:bodyDiv w:val="1"/>
      <w:marLeft w:val="0"/>
      <w:marRight w:val="0"/>
      <w:marTop w:val="0"/>
      <w:marBottom w:val="0"/>
      <w:divBdr>
        <w:top w:val="none" w:sz="0" w:space="0" w:color="auto"/>
        <w:left w:val="none" w:sz="0" w:space="0" w:color="auto"/>
        <w:bottom w:val="none" w:sz="0" w:space="0" w:color="auto"/>
        <w:right w:val="none" w:sz="0" w:space="0" w:color="auto"/>
      </w:divBdr>
    </w:div>
    <w:div w:id="1690327274">
      <w:bodyDiv w:val="1"/>
      <w:marLeft w:val="0"/>
      <w:marRight w:val="0"/>
      <w:marTop w:val="0"/>
      <w:marBottom w:val="0"/>
      <w:divBdr>
        <w:top w:val="none" w:sz="0" w:space="0" w:color="auto"/>
        <w:left w:val="none" w:sz="0" w:space="0" w:color="auto"/>
        <w:bottom w:val="none" w:sz="0" w:space="0" w:color="auto"/>
        <w:right w:val="none" w:sz="0" w:space="0" w:color="auto"/>
      </w:divBdr>
    </w:div>
    <w:div w:id="1699311690">
      <w:bodyDiv w:val="1"/>
      <w:marLeft w:val="0"/>
      <w:marRight w:val="0"/>
      <w:marTop w:val="0"/>
      <w:marBottom w:val="0"/>
      <w:divBdr>
        <w:top w:val="none" w:sz="0" w:space="0" w:color="auto"/>
        <w:left w:val="none" w:sz="0" w:space="0" w:color="auto"/>
        <w:bottom w:val="none" w:sz="0" w:space="0" w:color="auto"/>
        <w:right w:val="none" w:sz="0" w:space="0" w:color="auto"/>
      </w:divBdr>
    </w:div>
    <w:div w:id="1716544644">
      <w:bodyDiv w:val="1"/>
      <w:marLeft w:val="0"/>
      <w:marRight w:val="0"/>
      <w:marTop w:val="0"/>
      <w:marBottom w:val="0"/>
      <w:divBdr>
        <w:top w:val="none" w:sz="0" w:space="0" w:color="auto"/>
        <w:left w:val="none" w:sz="0" w:space="0" w:color="auto"/>
        <w:bottom w:val="none" w:sz="0" w:space="0" w:color="auto"/>
        <w:right w:val="none" w:sz="0" w:space="0" w:color="auto"/>
      </w:divBdr>
    </w:div>
    <w:div w:id="1773428083">
      <w:bodyDiv w:val="1"/>
      <w:marLeft w:val="0"/>
      <w:marRight w:val="0"/>
      <w:marTop w:val="0"/>
      <w:marBottom w:val="0"/>
      <w:divBdr>
        <w:top w:val="none" w:sz="0" w:space="0" w:color="auto"/>
        <w:left w:val="none" w:sz="0" w:space="0" w:color="auto"/>
        <w:bottom w:val="none" w:sz="0" w:space="0" w:color="auto"/>
        <w:right w:val="none" w:sz="0" w:space="0" w:color="auto"/>
      </w:divBdr>
    </w:div>
    <w:div w:id="1779258517">
      <w:bodyDiv w:val="1"/>
      <w:marLeft w:val="0"/>
      <w:marRight w:val="0"/>
      <w:marTop w:val="0"/>
      <w:marBottom w:val="0"/>
      <w:divBdr>
        <w:top w:val="none" w:sz="0" w:space="0" w:color="auto"/>
        <w:left w:val="none" w:sz="0" w:space="0" w:color="auto"/>
        <w:bottom w:val="none" w:sz="0" w:space="0" w:color="auto"/>
        <w:right w:val="none" w:sz="0" w:space="0" w:color="auto"/>
      </w:divBdr>
    </w:div>
    <w:div w:id="1821917458">
      <w:bodyDiv w:val="1"/>
      <w:marLeft w:val="0"/>
      <w:marRight w:val="0"/>
      <w:marTop w:val="0"/>
      <w:marBottom w:val="0"/>
      <w:divBdr>
        <w:top w:val="none" w:sz="0" w:space="0" w:color="auto"/>
        <w:left w:val="none" w:sz="0" w:space="0" w:color="auto"/>
        <w:bottom w:val="none" w:sz="0" w:space="0" w:color="auto"/>
        <w:right w:val="none" w:sz="0" w:space="0" w:color="auto"/>
      </w:divBdr>
    </w:div>
    <w:div w:id="1844929294">
      <w:bodyDiv w:val="1"/>
      <w:marLeft w:val="0"/>
      <w:marRight w:val="0"/>
      <w:marTop w:val="0"/>
      <w:marBottom w:val="0"/>
      <w:divBdr>
        <w:top w:val="none" w:sz="0" w:space="0" w:color="auto"/>
        <w:left w:val="none" w:sz="0" w:space="0" w:color="auto"/>
        <w:bottom w:val="none" w:sz="0" w:space="0" w:color="auto"/>
        <w:right w:val="none" w:sz="0" w:space="0" w:color="auto"/>
      </w:divBdr>
    </w:div>
    <w:div w:id="1856379094">
      <w:bodyDiv w:val="1"/>
      <w:marLeft w:val="0"/>
      <w:marRight w:val="0"/>
      <w:marTop w:val="0"/>
      <w:marBottom w:val="0"/>
      <w:divBdr>
        <w:top w:val="none" w:sz="0" w:space="0" w:color="auto"/>
        <w:left w:val="none" w:sz="0" w:space="0" w:color="auto"/>
        <w:bottom w:val="none" w:sz="0" w:space="0" w:color="auto"/>
        <w:right w:val="none" w:sz="0" w:space="0" w:color="auto"/>
      </w:divBdr>
    </w:div>
    <w:div w:id="1885408786">
      <w:bodyDiv w:val="1"/>
      <w:marLeft w:val="0"/>
      <w:marRight w:val="0"/>
      <w:marTop w:val="0"/>
      <w:marBottom w:val="0"/>
      <w:divBdr>
        <w:top w:val="none" w:sz="0" w:space="0" w:color="auto"/>
        <w:left w:val="none" w:sz="0" w:space="0" w:color="auto"/>
        <w:bottom w:val="none" w:sz="0" w:space="0" w:color="auto"/>
        <w:right w:val="none" w:sz="0" w:space="0" w:color="auto"/>
      </w:divBdr>
    </w:div>
    <w:div w:id="1908610470">
      <w:bodyDiv w:val="1"/>
      <w:marLeft w:val="0"/>
      <w:marRight w:val="0"/>
      <w:marTop w:val="0"/>
      <w:marBottom w:val="0"/>
      <w:divBdr>
        <w:top w:val="none" w:sz="0" w:space="0" w:color="auto"/>
        <w:left w:val="none" w:sz="0" w:space="0" w:color="auto"/>
        <w:bottom w:val="none" w:sz="0" w:space="0" w:color="auto"/>
        <w:right w:val="none" w:sz="0" w:space="0" w:color="auto"/>
      </w:divBdr>
    </w:div>
    <w:div w:id="1909607251">
      <w:bodyDiv w:val="1"/>
      <w:marLeft w:val="0"/>
      <w:marRight w:val="0"/>
      <w:marTop w:val="0"/>
      <w:marBottom w:val="0"/>
      <w:divBdr>
        <w:top w:val="none" w:sz="0" w:space="0" w:color="auto"/>
        <w:left w:val="none" w:sz="0" w:space="0" w:color="auto"/>
        <w:bottom w:val="none" w:sz="0" w:space="0" w:color="auto"/>
        <w:right w:val="none" w:sz="0" w:space="0" w:color="auto"/>
      </w:divBdr>
    </w:div>
    <w:div w:id="1924102523">
      <w:bodyDiv w:val="1"/>
      <w:marLeft w:val="0"/>
      <w:marRight w:val="0"/>
      <w:marTop w:val="0"/>
      <w:marBottom w:val="0"/>
      <w:divBdr>
        <w:top w:val="none" w:sz="0" w:space="0" w:color="auto"/>
        <w:left w:val="none" w:sz="0" w:space="0" w:color="auto"/>
        <w:bottom w:val="none" w:sz="0" w:space="0" w:color="auto"/>
        <w:right w:val="none" w:sz="0" w:space="0" w:color="auto"/>
      </w:divBdr>
    </w:div>
    <w:div w:id="1988128331">
      <w:bodyDiv w:val="1"/>
      <w:marLeft w:val="0"/>
      <w:marRight w:val="0"/>
      <w:marTop w:val="0"/>
      <w:marBottom w:val="0"/>
      <w:divBdr>
        <w:top w:val="none" w:sz="0" w:space="0" w:color="auto"/>
        <w:left w:val="none" w:sz="0" w:space="0" w:color="auto"/>
        <w:bottom w:val="none" w:sz="0" w:space="0" w:color="auto"/>
        <w:right w:val="none" w:sz="0" w:space="0" w:color="auto"/>
      </w:divBdr>
    </w:div>
    <w:div w:id="1996294891">
      <w:bodyDiv w:val="1"/>
      <w:marLeft w:val="0"/>
      <w:marRight w:val="0"/>
      <w:marTop w:val="0"/>
      <w:marBottom w:val="0"/>
      <w:divBdr>
        <w:top w:val="none" w:sz="0" w:space="0" w:color="auto"/>
        <w:left w:val="none" w:sz="0" w:space="0" w:color="auto"/>
        <w:bottom w:val="none" w:sz="0" w:space="0" w:color="auto"/>
        <w:right w:val="none" w:sz="0" w:space="0" w:color="auto"/>
      </w:divBdr>
    </w:div>
    <w:div w:id="2003123324">
      <w:bodyDiv w:val="1"/>
      <w:marLeft w:val="0"/>
      <w:marRight w:val="0"/>
      <w:marTop w:val="0"/>
      <w:marBottom w:val="0"/>
      <w:divBdr>
        <w:top w:val="none" w:sz="0" w:space="0" w:color="auto"/>
        <w:left w:val="none" w:sz="0" w:space="0" w:color="auto"/>
        <w:bottom w:val="none" w:sz="0" w:space="0" w:color="auto"/>
        <w:right w:val="none" w:sz="0" w:space="0" w:color="auto"/>
      </w:divBdr>
    </w:div>
    <w:div w:id="2037536338">
      <w:bodyDiv w:val="1"/>
      <w:marLeft w:val="0"/>
      <w:marRight w:val="0"/>
      <w:marTop w:val="0"/>
      <w:marBottom w:val="0"/>
      <w:divBdr>
        <w:top w:val="none" w:sz="0" w:space="0" w:color="auto"/>
        <w:left w:val="none" w:sz="0" w:space="0" w:color="auto"/>
        <w:bottom w:val="none" w:sz="0" w:space="0" w:color="auto"/>
        <w:right w:val="none" w:sz="0" w:space="0" w:color="auto"/>
      </w:divBdr>
    </w:div>
    <w:div w:id="2047099490">
      <w:bodyDiv w:val="1"/>
      <w:marLeft w:val="0"/>
      <w:marRight w:val="0"/>
      <w:marTop w:val="0"/>
      <w:marBottom w:val="0"/>
      <w:divBdr>
        <w:top w:val="none" w:sz="0" w:space="0" w:color="auto"/>
        <w:left w:val="none" w:sz="0" w:space="0" w:color="auto"/>
        <w:bottom w:val="none" w:sz="0" w:space="0" w:color="auto"/>
        <w:right w:val="none" w:sz="0" w:space="0" w:color="auto"/>
      </w:divBdr>
    </w:div>
    <w:div w:id="2047102543">
      <w:bodyDiv w:val="1"/>
      <w:marLeft w:val="0"/>
      <w:marRight w:val="0"/>
      <w:marTop w:val="0"/>
      <w:marBottom w:val="0"/>
      <w:divBdr>
        <w:top w:val="none" w:sz="0" w:space="0" w:color="auto"/>
        <w:left w:val="none" w:sz="0" w:space="0" w:color="auto"/>
        <w:bottom w:val="none" w:sz="0" w:space="0" w:color="auto"/>
        <w:right w:val="none" w:sz="0" w:space="0" w:color="auto"/>
      </w:divBdr>
    </w:div>
    <w:div w:id="2097361110">
      <w:bodyDiv w:val="1"/>
      <w:marLeft w:val="0"/>
      <w:marRight w:val="0"/>
      <w:marTop w:val="0"/>
      <w:marBottom w:val="0"/>
      <w:divBdr>
        <w:top w:val="none" w:sz="0" w:space="0" w:color="auto"/>
        <w:left w:val="none" w:sz="0" w:space="0" w:color="auto"/>
        <w:bottom w:val="none" w:sz="0" w:space="0" w:color="auto"/>
        <w:right w:val="none" w:sz="0" w:space="0" w:color="auto"/>
      </w:divBdr>
    </w:div>
    <w:div w:id="2118673353">
      <w:bodyDiv w:val="1"/>
      <w:marLeft w:val="0"/>
      <w:marRight w:val="0"/>
      <w:marTop w:val="0"/>
      <w:marBottom w:val="0"/>
      <w:divBdr>
        <w:top w:val="none" w:sz="0" w:space="0" w:color="auto"/>
        <w:left w:val="none" w:sz="0" w:space="0" w:color="auto"/>
        <w:bottom w:val="none" w:sz="0" w:space="0" w:color="auto"/>
        <w:right w:val="none" w:sz="0" w:space="0" w:color="auto"/>
      </w:divBdr>
    </w:div>
    <w:div w:id="212757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chart" Target="charts/chart7.xml"/><Relationship Id="rId21" Type="http://schemas.openxmlformats.org/officeDocument/2006/relationships/chart" Target="charts/chart8.xm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chart" Target="charts/chart6.xml"/><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google.com/url?sa=i&amp;rct=j&amp;q=&amp;esrc=s&amp;source=images&amp;cd=&amp;cad=rja&amp;uact=8&amp;ved=0ahUKEwjG7t-xvIfWAhWEh1QKHe9nDB0QjRwIBw&amp;url=https://twitter.com/skcathletics&amp;psig=AFQjCNHjubde9G-7BLkyyln-fj-NrxXfGQ&amp;ust=150447503363485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OPI%20Accreditation%20Complete\Current\Merle%20-%202017%20Accreditation%20Data%20Sept-4-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OPI%20Accreditation%20Complete\Data\Assessment%20Data\Praxis%20Scores%20for%20Accreditation%20Report-1.xlsx" TargetMode="External"/><Relationship Id="rId2"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file:///C:\OPI%20Accreditation%20Complete\Current\Merle%20-%202017%20Accreditation%20Data%20Sept-5-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OPI%20Accreditation%20Complete\Current\Merle%20-%202017%20Accreditation%20Data%20Sept-6-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J:\OPI%20Accreditation%20Complete\Current\Merle%20-%202017%20Accreditation%20Data%20Sept-6-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J:\OPI%20Accreditation%20Complete\Data\Surveys\2017%20Survey%20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J:\OPI%20Accreditation%20Complete\AA%20Major%20Files\Merle%20-%202017%20Accreditation%20Data%20Sept-11-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Sheet10!$BF$47</c:f>
          <c:strCache>
            <c:ptCount val="1"/>
            <c:pt idx="0">
              <c:v>MSTA Average 2014-17 Scores </c:v>
            </c:pt>
          </c:strCache>
        </c:strRef>
      </c:tx>
      <c:overlay val="0"/>
      <c:txPr>
        <a:bodyPr/>
        <a:lstStyle/>
        <a:p>
          <a:pPr>
            <a:defRPr sz="1300"/>
          </a:pPr>
          <a:endParaRPr lang="en-US"/>
        </a:p>
      </c:txPr>
    </c:title>
    <c:autoTitleDeleted val="0"/>
    <c:plotArea>
      <c:layout/>
      <c:barChart>
        <c:barDir val="col"/>
        <c:grouping val="clustered"/>
        <c:varyColors val="0"/>
        <c:ser>
          <c:idx val="0"/>
          <c:order val="0"/>
          <c:tx>
            <c:strRef>
              <c:f>Sheet10!$AT$50</c:f>
              <c:strCache>
                <c:ptCount val="1"/>
                <c:pt idx="0">
                  <c:v>LA</c:v>
                </c:pt>
              </c:strCache>
            </c:strRef>
          </c:tx>
          <c:invertIfNegative val="0"/>
          <c:cat>
            <c:multiLvlStrRef>
              <c:f>Sheet10!$AU$48:$BB$49</c:f>
              <c:multiLvlStrCache>
                <c:ptCount val="8"/>
                <c:lvl>
                  <c:pt idx="0">
                    <c:v>Exemplary</c:v>
                  </c:pt>
                  <c:pt idx="1">
                    <c:v>Proficient</c:v>
                  </c:pt>
                  <c:pt idx="2">
                    <c:v>Exemplary</c:v>
                  </c:pt>
                  <c:pt idx="3">
                    <c:v>Proficient</c:v>
                  </c:pt>
                  <c:pt idx="4">
                    <c:v>Exemplary</c:v>
                  </c:pt>
                  <c:pt idx="5">
                    <c:v>Proficient</c:v>
                  </c:pt>
                  <c:pt idx="6">
                    <c:v>Exemplary</c:v>
                  </c:pt>
                  <c:pt idx="7">
                    <c:v>Proficient</c:v>
                  </c:pt>
                </c:lvl>
                <c:lvl>
                  <c:pt idx="0">
                    <c:v>Knowledge</c:v>
                  </c:pt>
                  <c:pt idx="2">
                    <c:v>Alignment</c:v>
                  </c:pt>
                  <c:pt idx="4">
                    <c:v>Information</c:v>
                  </c:pt>
                  <c:pt idx="6">
                    <c:v>Research</c:v>
                  </c:pt>
                </c:lvl>
              </c:multiLvlStrCache>
            </c:multiLvlStrRef>
          </c:cat>
          <c:val>
            <c:numRef>
              <c:f>Sheet10!$AU$50:$BB$50</c:f>
              <c:numCache>
                <c:formatCode>0%</c:formatCode>
                <c:ptCount val="8"/>
                <c:pt idx="0">
                  <c:v>0.487179487179487</c:v>
                </c:pt>
                <c:pt idx="1">
                  <c:v>0.512820512820513</c:v>
                </c:pt>
                <c:pt idx="2">
                  <c:v>0.51</c:v>
                </c:pt>
                <c:pt idx="3">
                  <c:v>0.49</c:v>
                </c:pt>
                <c:pt idx="4">
                  <c:v>0.61</c:v>
                </c:pt>
                <c:pt idx="5">
                  <c:v>0.39</c:v>
                </c:pt>
                <c:pt idx="6">
                  <c:v>0.47</c:v>
                </c:pt>
                <c:pt idx="7">
                  <c:v>0.53</c:v>
                </c:pt>
              </c:numCache>
            </c:numRef>
          </c:val>
        </c:ser>
        <c:ser>
          <c:idx val="1"/>
          <c:order val="1"/>
          <c:tx>
            <c:strRef>
              <c:f>Sheet10!$AT$51</c:f>
              <c:strCache>
                <c:ptCount val="1"/>
                <c:pt idx="0">
                  <c:v>Math</c:v>
                </c:pt>
              </c:strCache>
            </c:strRef>
          </c:tx>
          <c:invertIfNegative val="0"/>
          <c:cat>
            <c:multiLvlStrRef>
              <c:f>Sheet10!$AU$48:$BB$49</c:f>
              <c:multiLvlStrCache>
                <c:ptCount val="8"/>
                <c:lvl>
                  <c:pt idx="0">
                    <c:v>Exemplary</c:v>
                  </c:pt>
                  <c:pt idx="1">
                    <c:v>Proficient</c:v>
                  </c:pt>
                  <c:pt idx="2">
                    <c:v>Exemplary</c:v>
                  </c:pt>
                  <c:pt idx="3">
                    <c:v>Proficient</c:v>
                  </c:pt>
                  <c:pt idx="4">
                    <c:v>Exemplary</c:v>
                  </c:pt>
                  <c:pt idx="5">
                    <c:v>Proficient</c:v>
                  </c:pt>
                  <c:pt idx="6">
                    <c:v>Exemplary</c:v>
                  </c:pt>
                  <c:pt idx="7">
                    <c:v>Proficient</c:v>
                  </c:pt>
                </c:lvl>
                <c:lvl>
                  <c:pt idx="0">
                    <c:v>Knowledge</c:v>
                  </c:pt>
                  <c:pt idx="2">
                    <c:v>Alignment</c:v>
                  </c:pt>
                  <c:pt idx="4">
                    <c:v>Information</c:v>
                  </c:pt>
                  <c:pt idx="6">
                    <c:v>Research</c:v>
                  </c:pt>
                </c:lvl>
              </c:multiLvlStrCache>
            </c:multiLvlStrRef>
          </c:cat>
          <c:val>
            <c:numRef>
              <c:f>Sheet10!$AU$51:$BB$51</c:f>
              <c:numCache>
                <c:formatCode>0%</c:formatCode>
                <c:ptCount val="8"/>
                <c:pt idx="0">
                  <c:v>0.487179487179487</c:v>
                </c:pt>
                <c:pt idx="1">
                  <c:v>0.487179487179487</c:v>
                </c:pt>
                <c:pt idx="2">
                  <c:v>0.56</c:v>
                </c:pt>
                <c:pt idx="3">
                  <c:v>0.44</c:v>
                </c:pt>
                <c:pt idx="4">
                  <c:v>0.51</c:v>
                </c:pt>
                <c:pt idx="5">
                  <c:v>0.49</c:v>
                </c:pt>
                <c:pt idx="6">
                  <c:v>0.51</c:v>
                </c:pt>
                <c:pt idx="7">
                  <c:v>0.49</c:v>
                </c:pt>
              </c:numCache>
            </c:numRef>
          </c:val>
        </c:ser>
        <c:ser>
          <c:idx val="2"/>
          <c:order val="2"/>
          <c:tx>
            <c:strRef>
              <c:f>Sheet10!$AT$52</c:f>
              <c:strCache>
                <c:ptCount val="1"/>
                <c:pt idx="0">
                  <c:v>Sci</c:v>
                </c:pt>
              </c:strCache>
            </c:strRef>
          </c:tx>
          <c:invertIfNegative val="0"/>
          <c:cat>
            <c:multiLvlStrRef>
              <c:f>Sheet10!$AU$48:$BB$49</c:f>
              <c:multiLvlStrCache>
                <c:ptCount val="8"/>
                <c:lvl>
                  <c:pt idx="0">
                    <c:v>Exemplary</c:v>
                  </c:pt>
                  <c:pt idx="1">
                    <c:v>Proficient</c:v>
                  </c:pt>
                  <c:pt idx="2">
                    <c:v>Exemplary</c:v>
                  </c:pt>
                  <c:pt idx="3">
                    <c:v>Proficient</c:v>
                  </c:pt>
                  <c:pt idx="4">
                    <c:v>Exemplary</c:v>
                  </c:pt>
                  <c:pt idx="5">
                    <c:v>Proficient</c:v>
                  </c:pt>
                  <c:pt idx="6">
                    <c:v>Exemplary</c:v>
                  </c:pt>
                  <c:pt idx="7">
                    <c:v>Proficient</c:v>
                  </c:pt>
                </c:lvl>
                <c:lvl>
                  <c:pt idx="0">
                    <c:v>Knowledge</c:v>
                  </c:pt>
                  <c:pt idx="2">
                    <c:v>Alignment</c:v>
                  </c:pt>
                  <c:pt idx="4">
                    <c:v>Information</c:v>
                  </c:pt>
                  <c:pt idx="6">
                    <c:v>Research</c:v>
                  </c:pt>
                </c:lvl>
              </c:multiLvlStrCache>
            </c:multiLvlStrRef>
          </c:cat>
          <c:val>
            <c:numRef>
              <c:f>Sheet10!$AU$52:$BB$52</c:f>
              <c:numCache>
                <c:formatCode>0%</c:formatCode>
                <c:ptCount val="8"/>
                <c:pt idx="0">
                  <c:v>0.459459459459459</c:v>
                </c:pt>
                <c:pt idx="1">
                  <c:v>0.540540540540541</c:v>
                </c:pt>
                <c:pt idx="2">
                  <c:v>0.62</c:v>
                </c:pt>
                <c:pt idx="3">
                  <c:v>0.38</c:v>
                </c:pt>
                <c:pt idx="4">
                  <c:v>0.73</c:v>
                </c:pt>
                <c:pt idx="5">
                  <c:v>0.27</c:v>
                </c:pt>
                <c:pt idx="6">
                  <c:v>0.54</c:v>
                </c:pt>
                <c:pt idx="7">
                  <c:v>0.46</c:v>
                </c:pt>
              </c:numCache>
            </c:numRef>
          </c:val>
        </c:ser>
        <c:ser>
          <c:idx val="3"/>
          <c:order val="3"/>
          <c:tx>
            <c:strRef>
              <c:f>Sheet10!$AT$53</c:f>
              <c:strCache>
                <c:ptCount val="1"/>
                <c:pt idx="0">
                  <c:v>SS</c:v>
                </c:pt>
              </c:strCache>
            </c:strRef>
          </c:tx>
          <c:invertIfNegative val="0"/>
          <c:cat>
            <c:multiLvlStrRef>
              <c:f>Sheet10!$AU$48:$BB$49</c:f>
              <c:multiLvlStrCache>
                <c:ptCount val="8"/>
                <c:lvl>
                  <c:pt idx="0">
                    <c:v>Exemplary</c:v>
                  </c:pt>
                  <c:pt idx="1">
                    <c:v>Proficient</c:v>
                  </c:pt>
                  <c:pt idx="2">
                    <c:v>Exemplary</c:v>
                  </c:pt>
                  <c:pt idx="3">
                    <c:v>Proficient</c:v>
                  </c:pt>
                  <c:pt idx="4">
                    <c:v>Exemplary</c:v>
                  </c:pt>
                  <c:pt idx="5">
                    <c:v>Proficient</c:v>
                  </c:pt>
                  <c:pt idx="6">
                    <c:v>Exemplary</c:v>
                  </c:pt>
                  <c:pt idx="7">
                    <c:v>Proficient</c:v>
                  </c:pt>
                </c:lvl>
                <c:lvl>
                  <c:pt idx="0">
                    <c:v>Knowledge</c:v>
                  </c:pt>
                  <c:pt idx="2">
                    <c:v>Alignment</c:v>
                  </c:pt>
                  <c:pt idx="4">
                    <c:v>Information</c:v>
                  </c:pt>
                  <c:pt idx="6">
                    <c:v>Research</c:v>
                  </c:pt>
                </c:lvl>
              </c:multiLvlStrCache>
            </c:multiLvlStrRef>
          </c:cat>
          <c:val>
            <c:numRef>
              <c:f>Sheet10!$AU$53:$BB$53</c:f>
              <c:numCache>
                <c:formatCode>0%</c:formatCode>
                <c:ptCount val="8"/>
                <c:pt idx="0">
                  <c:v>0.513513513513514</c:v>
                </c:pt>
                <c:pt idx="1">
                  <c:v>0.486486486486487</c:v>
                </c:pt>
                <c:pt idx="2">
                  <c:v>0.54</c:v>
                </c:pt>
                <c:pt idx="3">
                  <c:v>0.46</c:v>
                </c:pt>
                <c:pt idx="4">
                  <c:v>0.65</c:v>
                </c:pt>
                <c:pt idx="5">
                  <c:v>0.35</c:v>
                </c:pt>
                <c:pt idx="6">
                  <c:v>0.49</c:v>
                </c:pt>
                <c:pt idx="7">
                  <c:v>0.51</c:v>
                </c:pt>
              </c:numCache>
            </c:numRef>
          </c:val>
        </c:ser>
        <c:dLbls>
          <c:showLegendKey val="0"/>
          <c:showVal val="0"/>
          <c:showCatName val="0"/>
          <c:showSerName val="0"/>
          <c:showPercent val="0"/>
          <c:showBubbleSize val="0"/>
        </c:dLbls>
        <c:gapWidth val="150"/>
        <c:axId val="464930672"/>
        <c:axId val="465279616"/>
      </c:barChart>
      <c:catAx>
        <c:axId val="464930672"/>
        <c:scaling>
          <c:orientation val="minMax"/>
        </c:scaling>
        <c:delete val="0"/>
        <c:axPos val="b"/>
        <c:numFmt formatCode="General" sourceLinked="0"/>
        <c:majorTickMark val="none"/>
        <c:minorTickMark val="none"/>
        <c:tickLblPos val="nextTo"/>
        <c:crossAx val="465279616"/>
        <c:crosses val="autoZero"/>
        <c:auto val="1"/>
        <c:lblAlgn val="ctr"/>
        <c:lblOffset val="100"/>
        <c:noMultiLvlLbl val="0"/>
      </c:catAx>
      <c:valAx>
        <c:axId val="465279616"/>
        <c:scaling>
          <c:orientation val="minMax"/>
        </c:scaling>
        <c:delete val="0"/>
        <c:axPos val="l"/>
        <c:majorGridlines/>
        <c:numFmt formatCode="0%" sourceLinked="1"/>
        <c:majorTickMark val="none"/>
        <c:minorTickMark val="none"/>
        <c:tickLblPos val="nextTo"/>
        <c:crossAx val="464930672"/>
        <c:crosses val="autoZero"/>
        <c:crossBetween val="between"/>
      </c:valAx>
    </c:plotArea>
    <c:legend>
      <c:legendPos val="r"/>
      <c:overlay val="0"/>
    </c:legend>
    <c:plotVisOnly val="1"/>
    <c:dispBlanksAs val="gap"/>
    <c:showDLblsOverMax val="0"/>
  </c:chart>
  <c:txPr>
    <a:bodyPr/>
    <a:lstStyle/>
    <a:p>
      <a:pPr>
        <a:defRPr baseline="0">
          <a:latin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300" b="1">
                <a:solidFill>
                  <a:schemeClr val="tx1"/>
                </a:solidFill>
                <a:effectLst/>
                <a:latin typeface="Times New Roman" panose="02020603050405020304" pitchFamily="18" charset="0"/>
                <a:cs typeface="Times New Roman" panose="02020603050405020304" pitchFamily="18" charset="0"/>
              </a:rPr>
              <a:t>Chart 2</a:t>
            </a:r>
            <a:r>
              <a:rPr lang="en-US" sz="1300" b="1">
                <a:effectLst/>
              </a:rPr>
              <a:t>:  SKC Division of Education PRAXIS II Scores</a:t>
            </a:r>
          </a:p>
        </c:rich>
      </c:tx>
      <c:layout>
        <c:manualLayout>
          <c:xMode val="edge"/>
          <c:yMode val="edge"/>
          <c:x val="0.228814018440003"/>
          <c:y val="0.0319779713391352"/>
        </c:manualLayout>
      </c:layout>
      <c:overlay val="0"/>
    </c:title>
    <c:autoTitleDeleted val="0"/>
    <c:plotArea>
      <c:layout/>
      <c:barChart>
        <c:barDir val="col"/>
        <c:grouping val="clustered"/>
        <c:varyColors val="0"/>
        <c:ser>
          <c:idx val="0"/>
          <c:order val="0"/>
          <c:tx>
            <c:strRef>
              <c:f>'Elementary Scores'!$O$70</c:f>
              <c:strCache>
                <c:ptCount val="1"/>
                <c:pt idx="0">
                  <c:v>Chart 2: SKC Division of Education PRAXIS II Scores</c:v>
                </c:pt>
              </c:strCache>
            </c:strRef>
          </c:tx>
          <c:invertIfNegative val="0"/>
          <c:dPt>
            <c:idx val="26"/>
            <c:invertIfNegative val="0"/>
            <c:bubble3D val="0"/>
            <c:spPr>
              <a:solidFill>
                <a:srgbClr val="00B050"/>
              </a:solidFill>
            </c:spPr>
          </c:dPt>
          <c:dPt>
            <c:idx val="30"/>
            <c:invertIfNegative val="0"/>
            <c:bubble3D val="0"/>
            <c:spPr>
              <a:solidFill>
                <a:schemeClr val="accent6"/>
              </a:solidFill>
            </c:spPr>
          </c:dPt>
          <c:dPt>
            <c:idx val="38"/>
            <c:invertIfNegative val="0"/>
            <c:bubble3D val="0"/>
            <c:spPr>
              <a:solidFill>
                <a:srgbClr val="FF0000"/>
              </a:solidFill>
            </c:spPr>
          </c:dPt>
          <c:dPt>
            <c:idx val="46"/>
            <c:invertIfNegative val="0"/>
            <c:bubble3D val="0"/>
            <c:spPr>
              <a:solidFill>
                <a:srgbClr val="FF0000"/>
              </a:solidFill>
            </c:spPr>
          </c:dPt>
          <c:dPt>
            <c:idx val="49"/>
            <c:invertIfNegative val="0"/>
            <c:bubble3D val="0"/>
            <c:spPr>
              <a:solidFill>
                <a:srgbClr val="FF0000"/>
              </a:solidFill>
            </c:spPr>
          </c:dPt>
          <c:dPt>
            <c:idx val="54"/>
            <c:invertIfNegative val="0"/>
            <c:bubble3D val="0"/>
            <c:spPr>
              <a:solidFill>
                <a:srgbClr val="FF0000"/>
              </a:solidFill>
            </c:spPr>
          </c:dPt>
          <c:dPt>
            <c:idx val="55"/>
            <c:invertIfNegative val="0"/>
            <c:bubble3D val="0"/>
            <c:spPr>
              <a:solidFill>
                <a:schemeClr val="accent6"/>
              </a:solidFill>
            </c:spPr>
          </c:dPt>
          <c:cat>
            <c:strRef>
              <c:f>'Elementary Scores'!$S$110:$S$113</c:f>
              <c:strCache>
                <c:ptCount val="4"/>
                <c:pt idx="0">
                  <c:v>Red = P-3</c:v>
                </c:pt>
                <c:pt idx="1">
                  <c:v>Blue = Elementary</c:v>
                </c:pt>
                <c:pt idx="2">
                  <c:v>Green = Math</c:v>
                </c:pt>
                <c:pt idx="3">
                  <c:v>Orange = Science</c:v>
                </c:pt>
              </c:strCache>
            </c:strRef>
          </c:cat>
          <c:val>
            <c:numRef>
              <c:f>'Elementary Scores'!$O$71:$O$131</c:f>
              <c:numCache>
                <c:formatCode>General</c:formatCode>
                <c:ptCount val="61"/>
                <c:pt idx="0">
                  <c:v>126.0</c:v>
                </c:pt>
                <c:pt idx="1">
                  <c:v>129.0</c:v>
                </c:pt>
                <c:pt idx="2">
                  <c:v>129.0</c:v>
                </c:pt>
                <c:pt idx="3">
                  <c:v>129.0</c:v>
                </c:pt>
                <c:pt idx="4">
                  <c:v>131.0</c:v>
                </c:pt>
                <c:pt idx="5">
                  <c:v>132.0</c:v>
                </c:pt>
                <c:pt idx="6">
                  <c:v>137.0</c:v>
                </c:pt>
                <c:pt idx="7">
                  <c:v>137.0</c:v>
                </c:pt>
                <c:pt idx="8">
                  <c:v>139.0</c:v>
                </c:pt>
                <c:pt idx="9">
                  <c:v>139.0</c:v>
                </c:pt>
                <c:pt idx="10">
                  <c:v>140.0</c:v>
                </c:pt>
                <c:pt idx="11">
                  <c:v>140.0</c:v>
                </c:pt>
                <c:pt idx="12">
                  <c:v>140.0</c:v>
                </c:pt>
                <c:pt idx="13">
                  <c:v>142.0</c:v>
                </c:pt>
                <c:pt idx="14">
                  <c:v>142.0</c:v>
                </c:pt>
                <c:pt idx="15">
                  <c:v>143.0</c:v>
                </c:pt>
                <c:pt idx="16">
                  <c:v>143.0</c:v>
                </c:pt>
                <c:pt idx="17">
                  <c:v>145.0</c:v>
                </c:pt>
                <c:pt idx="18">
                  <c:v>146.0</c:v>
                </c:pt>
                <c:pt idx="19">
                  <c:v>148.0</c:v>
                </c:pt>
                <c:pt idx="20">
                  <c:v>148.0</c:v>
                </c:pt>
                <c:pt idx="21">
                  <c:v>148.0</c:v>
                </c:pt>
                <c:pt idx="22">
                  <c:v>149.0</c:v>
                </c:pt>
                <c:pt idx="23">
                  <c:v>149.0</c:v>
                </c:pt>
                <c:pt idx="24">
                  <c:v>151.0</c:v>
                </c:pt>
                <c:pt idx="25">
                  <c:v>151.0</c:v>
                </c:pt>
                <c:pt idx="26">
                  <c:v>152.0</c:v>
                </c:pt>
                <c:pt idx="27">
                  <c:v>152.0</c:v>
                </c:pt>
                <c:pt idx="28">
                  <c:v>152.0</c:v>
                </c:pt>
                <c:pt idx="29">
                  <c:v>154.0</c:v>
                </c:pt>
                <c:pt idx="30">
                  <c:v>154.0</c:v>
                </c:pt>
                <c:pt idx="31">
                  <c:v>155.0</c:v>
                </c:pt>
                <c:pt idx="32">
                  <c:v>156.0</c:v>
                </c:pt>
                <c:pt idx="33">
                  <c:v>157.0</c:v>
                </c:pt>
                <c:pt idx="34">
                  <c:v>157.0</c:v>
                </c:pt>
                <c:pt idx="35">
                  <c:v>158.0</c:v>
                </c:pt>
                <c:pt idx="36">
                  <c:v>159.0</c:v>
                </c:pt>
                <c:pt idx="37">
                  <c:v>159.0</c:v>
                </c:pt>
                <c:pt idx="38">
                  <c:v>159.0</c:v>
                </c:pt>
                <c:pt idx="39">
                  <c:v>160.0</c:v>
                </c:pt>
                <c:pt idx="40">
                  <c:v>161.0</c:v>
                </c:pt>
                <c:pt idx="41">
                  <c:v>161.0</c:v>
                </c:pt>
                <c:pt idx="42">
                  <c:v>162.0</c:v>
                </c:pt>
                <c:pt idx="43">
                  <c:v>162.0</c:v>
                </c:pt>
                <c:pt idx="44">
                  <c:v>164.0</c:v>
                </c:pt>
                <c:pt idx="45">
                  <c:v>164.0</c:v>
                </c:pt>
                <c:pt idx="46">
                  <c:v>165.0</c:v>
                </c:pt>
                <c:pt idx="47">
                  <c:v>167.0</c:v>
                </c:pt>
                <c:pt idx="48">
                  <c:v>168.0</c:v>
                </c:pt>
                <c:pt idx="49">
                  <c:v>169.0</c:v>
                </c:pt>
                <c:pt idx="50">
                  <c:v>170.0</c:v>
                </c:pt>
                <c:pt idx="51">
                  <c:v>175.0</c:v>
                </c:pt>
                <c:pt idx="52">
                  <c:v>176.0</c:v>
                </c:pt>
                <c:pt idx="53">
                  <c:v>176.0</c:v>
                </c:pt>
                <c:pt idx="54">
                  <c:v>176.0</c:v>
                </c:pt>
                <c:pt idx="55">
                  <c:v>176.0</c:v>
                </c:pt>
                <c:pt idx="56">
                  <c:v>177.0</c:v>
                </c:pt>
                <c:pt idx="57">
                  <c:v>178.0</c:v>
                </c:pt>
                <c:pt idx="58">
                  <c:v>180.0</c:v>
                </c:pt>
                <c:pt idx="59">
                  <c:v>186.0</c:v>
                </c:pt>
                <c:pt idx="60">
                  <c:v>195.0</c:v>
                </c:pt>
              </c:numCache>
            </c:numRef>
          </c:val>
        </c:ser>
        <c:dLbls>
          <c:showLegendKey val="0"/>
          <c:showVal val="0"/>
          <c:showCatName val="0"/>
          <c:showSerName val="0"/>
          <c:showPercent val="0"/>
          <c:showBubbleSize val="0"/>
        </c:dLbls>
        <c:gapWidth val="150"/>
        <c:axId val="810607200"/>
        <c:axId val="813324000"/>
      </c:barChart>
      <c:catAx>
        <c:axId val="810607200"/>
        <c:scaling>
          <c:orientation val="minMax"/>
        </c:scaling>
        <c:delete val="1"/>
        <c:axPos val="b"/>
        <c:numFmt formatCode="General" sourceLinked="0"/>
        <c:majorTickMark val="none"/>
        <c:minorTickMark val="none"/>
        <c:tickLblPos val="nextTo"/>
        <c:crossAx val="813324000"/>
        <c:crosses val="autoZero"/>
        <c:auto val="1"/>
        <c:lblAlgn val="ctr"/>
        <c:lblOffset val="100"/>
        <c:noMultiLvlLbl val="0"/>
      </c:catAx>
      <c:valAx>
        <c:axId val="813324000"/>
        <c:scaling>
          <c:orientation val="minMax"/>
          <c:max val="200.0"/>
          <c:min val="100.0"/>
        </c:scaling>
        <c:delete val="0"/>
        <c:axPos val="l"/>
        <c:majorGridlines/>
        <c:numFmt formatCode="General" sourceLinked="1"/>
        <c:majorTickMark val="none"/>
        <c:minorTickMark val="none"/>
        <c:tickLblPos val="nextTo"/>
        <c:txPr>
          <a:bodyPr/>
          <a:lstStyle/>
          <a:p>
            <a:pPr>
              <a:defRPr baseline="0">
                <a:latin typeface="Times New Roman" panose="02020603050405020304" pitchFamily="18" charset="0"/>
              </a:defRPr>
            </a:pPr>
            <a:endParaRPr lang="en-US"/>
          </a:p>
        </c:txPr>
        <c:crossAx val="810607200"/>
        <c:crosses val="autoZero"/>
        <c:crossBetween val="between"/>
        <c:majorUnit val="5.0"/>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300" b="1" i="0" u="none" strike="noStrike" baseline="0">
                <a:effectLst/>
                <a:latin typeface="Times New Roman" panose="02020603050405020304" pitchFamily="18" charset="0"/>
                <a:cs typeface="Times New Roman" panose="02020603050405020304" pitchFamily="18" charset="0"/>
              </a:rPr>
              <a:t>Chart 3: Elementary PRAXIS II Content Knowledge</a:t>
            </a:r>
            <a:r>
              <a:rPr lang="en-US" sz="1300" b="1" i="0" u="none" strike="noStrike" baseline="0">
                <a:latin typeface="Times New Roman" panose="02020603050405020304" pitchFamily="18" charset="0"/>
                <a:cs typeface="Times New Roman" panose="02020603050405020304" pitchFamily="18" charset="0"/>
              </a:rPr>
              <a:t> </a:t>
            </a:r>
            <a:endParaRPr lang="en-US" sz="1300" b="1">
              <a:latin typeface="Times New Roman" panose="02020603050405020304" pitchFamily="18" charset="0"/>
              <a:cs typeface="Times New Roman" panose="02020603050405020304" pitchFamily="18" charset="0"/>
            </a:endParaRPr>
          </a:p>
        </c:rich>
      </c:tx>
      <c:layout>
        <c:manualLayout>
          <c:xMode val="edge"/>
          <c:yMode val="edge"/>
          <c:x val="0.232970085470085"/>
          <c:y val="0.0202565833896016"/>
        </c:manualLayout>
      </c:layout>
      <c:overlay val="1"/>
    </c:title>
    <c:autoTitleDeleted val="0"/>
    <c:plotArea>
      <c:layout>
        <c:manualLayout>
          <c:layoutTarget val="inner"/>
          <c:xMode val="edge"/>
          <c:yMode val="edge"/>
          <c:x val="0.0531729953996257"/>
          <c:y val="0.0749784042231741"/>
          <c:w val="0.929684150028624"/>
          <c:h val="0.854782857442114"/>
        </c:manualLayout>
      </c:layout>
      <c:barChart>
        <c:barDir val="col"/>
        <c:grouping val="clustered"/>
        <c:varyColors val="0"/>
        <c:ser>
          <c:idx val="0"/>
          <c:order val="0"/>
          <c:tx>
            <c:strRef>
              <c:f>Analysis!$S$195</c:f>
              <c:strCache>
                <c:ptCount val="1"/>
                <c:pt idx="0">
                  <c:v>Language Arts</c:v>
                </c:pt>
              </c:strCache>
            </c:strRef>
          </c:tx>
          <c:spPr>
            <a:solidFill>
              <a:srgbClr val="00B0F0"/>
            </a:solidFill>
          </c:spPr>
          <c:invertIfNegative val="0"/>
          <c:cat>
            <c:strRef>
              <c:f>Analysis!$S$195:$V$195</c:f>
              <c:strCache>
                <c:ptCount val="4"/>
                <c:pt idx="0">
                  <c:v>Language Arts</c:v>
                </c:pt>
                <c:pt idx="1">
                  <c:v>Math</c:v>
                </c:pt>
                <c:pt idx="2">
                  <c:v>Science</c:v>
                </c:pt>
                <c:pt idx="3">
                  <c:v>Social Studies</c:v>
                </c:pt>
              </c:strCache>
            </c:strRef>
          </c:cat>
          <c:val>
            <c:numRef>
              <c:f>Analysis!$S$196:$S$221</c:f>
              <c:numCache>
                <c:formatCode>0</c:formatCode>
                <c:ptCount val="26"/>
                <c:pt idx="0">
                  <c:v>11.0</c:v>
                </c:pt>
                <c:pt idx="1">
                  <c:v>11.0</c:v>
                </c:pt>
                <c:pt idx="2">
                  <c:v>12.0</c:v>
                </c:pt>
                <c:pt idx="3">
                  <c:v>13.0</c:v>
                </c:pt>
                <c:pt idx="4">
                  <c:v>13.0</c:v>
                </c:pt>
                <c:pt idx="5">
                  <c:v>13.0</c:v>
                </c:pt>
                <c:pt idx="6">
                  <c:v>14.0</c:v>
                </c:pt>
                <c:pt idx="7">
                  <c:v>17.0</c:v>
                </c:pt>
                <c:pt idx="8">
                  <c:v>18.0</c:v>
                </c:pt>
                <c:pt idx="9">
                  <c:v>18.0</c:v>
                </c:pt>
                <c:pt idx="10">
                  <c:v>19.0</c:v>
                </c:pt>
                <c:pt idx="11">
                  <c:v>19.0</c:v>
                </c:pt>
                <c:pt idx="12">
                  <c:v>19.0</c:v>
                </c:pt>
                <c:pt idx="13">
                  <c:v>21.0</c:v>
                </c:pt>
                <c:pt idx="14">
                  <c:v>22.0</c:v>
                </c:pt>
                <c:pt idx="15">
                  <c:v>22.0</c:v>
                </c:pt>
                <c:pt idx="16">
                  <c:v>23.0</c:v>
                </c:pt>
                <c:pt idx="17">
                  <c:v>23.0</c:v>
                </c:pt>
                <c:pt idx="18">
                  <c:v>23.0</c:v>
                </c:pt>
                <c:pt idx="19">
                  <c:v>23.0</c:v>
                </c:pt>
                <c:pt idx="20">
                  <c:v>24.0</c:v>
                </c:pt>
                <c:pt idx="21">
                  <c:v>24.0</c:v>
                </c:pt>
                <c:pt idx="22">
                  <c:v>25.0</c:v>
                </c:pt>
                <c:pt idx="23">
                  <c:v>25.0</c:v>
                </c:pt>
                <c:pt idx="24">
                  <c:v>27.0</c:v>
                </c:pt>
                <c:pt idx="25">
                  <c:v>28.0</c:v>
                </c:pt>
              </c:numCache>
            </c:numRef>
          </c:val>
        </c:ser>
        <c:ser>
          <c:idx val="1"/>
          <c:order val="1"/>
          <c:tx>
            <c:strRef>
              <c:f>Analysis!$T$195</c:f>
              <c:strCache>
                <c:ptCount val="1"/>
                <c:pt idx="0">
                  <c:v>Math</c:v>
                </c:pt>
              </c:strCache>
            </c:strRef>
          </c:tx>
          <c:spPr>
            <a:solidFill>
              <a:srgbClr val="FF0000"/>
            </a:solidFill>
          </c:spPr>
          <c:invertIfNegative val="0"/>
          <c:cat>
            <c:strRef>
              <c:f>Analysis!$S$195:$V$195</c:f>
              <c:strCache>
                <c:ptCount val="4"/>
                <c:pt idx="0">
                  <c:v>Language Arts</c:v>
                </c:pt>
                <c:pt idx="1">
                  <c:v>Math</c:v>
                </c:pt>
                <c:pt idx="2">
                  <c:v>Science</c:v>
                </c:pt>
                <c:pt idx="3">
                  <c:v>Social Studies</c:v>
                </c:pt>
              </c:strCache>
            </c:strRef>
          </c:cat>
          <c:val>
            <c:numRef>
              <c:f>Analysis!$T$196:$T$221</c:f>
              <c:numCache>
                <c:formatCode>0</c:formatCode>
                <c:ptCount val="26"/>
                <c:pt idx="0">
                  <c:v>9.0</c:v>
                </c:pt>
                <c:pt idx="1">
                  <c:v>11.0</c:v>
                </c:pt>
                <c:pt idx="2">
                  <c:v>11.0</c:v>
                </c:pt>
                <c:pt idx="3">
                  <c:v>13.0</c:v>
                </c:pt>
                <c:pt idx="4">
                  <c:v>14.0</c:v>
                </c:pt>
                <c:pt idx="5">
                  <c:v>14.0</c:v>
                </c:pt>
                <c:pt idx="6">
                  <c:v>14.0</c:v>
                </c:pt>
                <c:pt idx="7">
                  <c:v>15.0</c:v>
                </c:pt>
                <c:pt idx="8">
                  <c:v>15.0</c:v>
                </c:pt>
                <c:pt idx="9">
                  <c:v>16.0</c:v>
                </c:pt>
                <c:pt idx="10">
                  <c:v>17.0</c:v>
                </c:pt>
                <c:pt idx="11">
                  <c:v>18.0</c:v>
                </c:pt>
                <c:pt idx="12">
                  <c:v>18.0</c:v>
                </c:pt>
                <c:pt idx="13">
                  <c:v>19.0</c:v>
                </c:pt>
                <c:pt idx="14">
                  <c:v>20.0</c:v>
                </c:pt>
                <c:pt idx="15">
                  <c:v>20.0</c:v>
                </c:pt>
                <c:pt idx="16">
                  <c:v>21.0</c:v>
                </c:pt>
                <c:pt idx="17">
                  <c:v>21.0</c:v>
                </c:pt>
                <c:pt idx="18">
                  <c:v>21.0</c:v>
                </c:pt>
                <c:pt idx="19">
                  <c:v>21.0</c:v>
                </c:pt>
                <c:pt idx="20">
                  <c:v>22.0</c:v>
                </c:pt>
                <c:pt idx="21">
                  <c:v>25.0</c:v>
                </c:pt>
                <c:pt idx="22">
                  <c:v>25.0</c:v>
                </c:pt>
                <c:pt idx="23">
                  <c:v>26.0</c:v>
                </c:pt>
                <c:pt idx="24">
                  <c:v>27.0</c:v>
                </c:pt>
                <c:pt idx="25">
                  <c:v>28.0</c:v>
                </c:pt>
              </c:numCache>
            </c:numRef>
          </c:val>
        </c:ser>
        <c:ser>
          <c:idx val="2"/>
          <c:order val="2"/>
          <c:tx>
            <c:strRef>
              <c:f>Analysis!$U$195</c:f>
              <c:strCache>
                <c:ptCount val="1"/>
                <c:pt idx="0">
                  <c:v>Science</c:v>
                </c:pt>
              </c:strCache>
            </c:strRef>
          </c:tx>
          <c:invertIfNegative val="0"/>
          <c:cat>
            <c:strRef>
              <c:f>Analysis!$S$195:$V$195</c:f>
              <c:strCache>
                <c:ptCount val="4"/>
                <c:pt idx="0">
                  <c:v>Language Arts</c:v>
                </c:pt>
                <c:pt idx="1">
                  <c:v>Math</c:v>
                </c:pt>
                <c:pt idx="2">
                  <c:v>Science</c:v>
                </c:pt>
                <c:pt idx="3">
                  <c:v>Social Studies</c:v>
                </c:pt>
              </c:strCache>
            </c:strRef>
          </c:cat>
          <c:val>
            <c:numRef>
              <c:f>Analysis!$U$196:$U$221</c:f>
              <c:numCache>
                <c:formatCode>0</c:formatCode>
                <c:ptCount val="26"/>
                <c:pt idx="0">
                  <c:v>9.0</c:v>
                </c:pt>
                <c:pt idx="1">
                  <c:v>9.0</c:v>
                </c:pt>
                <c:pt idx="2">
                  <c:v>11.0</c:v>
                </c:pt>
                <c:pt idx="3">
                  <c:v>14.0</c:v>
                </c:pt>
                <c:pt idx="4">
                  <c:v>16.0</c:v>
                </c:pt>
                <c:pt idx="5">
                  <c:v>17.0</c:v>
                </c:pt>
                <c:pt idx="6">
                  <c:v>17.0</c:v>
                </c:pt>
                <c:pt idx="7">
                  <c:v>17.0</c:v>
                </c:pt>
                <c:pt idx="8">
                  <c:v>17.0</c:v>
                </c:pt>
                <c:pt idx="9">
                  <c:v>18.0</c:v>
                </c:pt>
                <c:pt idx="10">
                  <c:v>18.0</c:v>
                </c:pt>
                <c:pt idx="11">
                  <c:v>18.0</c:v>
                </c:pt>
                <c:pt idx="12">
                  <c:v>19.0</c:v>
                </c:pt>
                <c:pt idx="13">
                  <c:v>19.0</c:v>
                </c:pt>
                <c:pt idx="14">
                  <c:v>19.0</c:v>
                </c:pt>
                <c:pt idx="15">
                  <c:v>19.0</c:v>
                </c:pt>
                <c:pt idx="16">
                  <c:v>21.0</c:v>
                </c:pt>
                <c:pt idx="17">
                  <c:v>22.0</c:v>
                </c:pt>
                <c:pt idx="18">
                  <c:v>22.0</c:v>
                </c:pt>
                <c:pt idx="19">
                  <c:v>23.0</c:v>
                </c:pt>
                <c:pt idx="20">
                  <c:v>23.0</c:v>
                </c:pt>
                <c:pt idx="21">
                  <c:v>24.0</c:v>
                </c:pt>
                <c:pt idx="22">
                  <c:v>24.0</c:v>
                </c:pt>
                <c:pt idx="23">
                  <c:v>25.0</c:v>
                </c:pt>
                <c:pt idx="24">
                  <c:v>27.0</c:v>
                </c:pt>
                <c:pt idx="25">
                  <c:v>28.0</c:v>
                </c:pt>
              </c:numCache>
            </c:numRef>
          </c:val>
        </c:ser>
        <c:ser>
          <c:idx val="3"/>
          <c:order val="3"/>
          <c:tx>
            <c:strRef>
              <c:f>Analysis!$V$195</c:f>
              <c:strCache>
                <c:ptCount val="1"/>
                <c:pt idx="0">
                  <c:v>Social Studies</c:v>
                </c:pt>
              </c:strCache>
            </c:strRef>
          </c:tx>
          <c:spPr>
            <a:solidFill>
              <a:schemeClr val="tx1"/>
            </a:solidFill>
          </c:spPr>
          <c:invertIfNegative val="0"/>
          <c:cat>
            <c:strRef>
              <c:f>Analysis!$S$195:$V$195</c:f>
              <c:strCache>
                <c:ptCount val="4"/>
                <c:pt idx="0">
                  <c:v>Language Arts</c:v>
                </c:pt>
                <c:pt idx="1">
                  <c:v>Math</c:v>
                </c:pt>
                <c:pt idx="2">
                  <c:v>Science</c:v>
                </c:pt>
                <c:pt idx="3">
                  <c:v>Social Studies</c:v>
                </c:pt>
              </c:strCache>
            </c:strRef>
          </c:cat>
          <c:val>
            <c:numRef>
              <c:f>Analysis!$V$196:$V$221</c:f>
              <c:numCache>
                <c:formatCode>0</c:formatCode>
                <c:ptCount val="26"/>
                <c:pt idx="0">
                  <c:v>9.0</c:v>
                </c:pt>
                <c:pt idx="1">
                  <c:v>10.0</c:v>
                </c:pt>
                <c:pt idx="2">
                  <c:v>11.0</c:v>
                </c:pt>
                <c:pt idx="3">
                  <c:v>12.0</c:v>
                </c:pt>
                <c:pt idx="4">
                  <c:v>13.0</c:v>
                </c:pt>
                <c:pt idx="5">
                  <c:v>13.0</c:v>
                </c:pt>
                <c:pt idx="6">
                  <c:v>13.0</c:v>
                </c:pt>
                <c:pt idx="7">
                  <c:v>13.0</c:v>
                </c:pt>
                <c:pt idx="8">
                  <c:v>14.0</c:v>
                </c:pt>
                <c:pt idx="9">
                  <c:v>15.0</c:v>
                </c:pt>
                <c:pt idx="10">
                  <c:v>15.0</c:v>
                </c:pt>
                <c:pt idx="11">
                  <c:v>16.0</c:v>
                </c:pt>
                <c:pt idx="12">
                  <c:v>17.0</c:v>
                </c:pt>
                <c:pt idx="13">
                  <c:v>17.0</c:v>
                </c:pt>
                <c:pt idx="14">
                  <c:v>17.0</c:v>
                </c:pt>
                <c:pt idx="15">
                  <c:v>19.0</c:v>
                </c:pt>
                <c:pt idx="16">
                  <c:v>20.0</c:v>
                </c:pt>
                <c:pt idx="17">
                  <c:v>20.0</c:v>
                </c:pt>
                <c:pt idx="18">
                  <c:v>20.0</c:v>
                </c:pt>
                <c:pt idx="19">
                  <c:v>20.0</c:v>
                </c:pt>
                <c:pt idx="20">
                  <c:v>21.0</c:v>
                </c:pt>
                <c:pt idx="21">
                  <c:v>22.0</c:v>
                </c:pt>
                <c:pt idx="22">
                  <c:v>25.0</c:v>
                </c:pt>
                <c:pt idx="23">
                  <c:v>26.0</c:v>
                </c:pt>
                <c:pt idx="24">
                  <c:v>26.0</c:v>
                </c:pt>
                <c:pt idx="25">
                  <c:v>29.0</c:v>
                </c:pt>
              </c:numCache>
            </c:numRef>
          </c:val>
        </c:ser>
        <c:dLbls>
          <c:showLegendKey val="0"/>
          <c:showVal val="0"/>
          <c:showCatName val="0"/>
          <c:showSerName val="0"/>
          <c:showPercent val="0"/>
          <c:showBubbleSize val="0"/>
        </c:dLbls>
        <c:gapWidth val="202"/>
        <c:overlap val="-25"/>
        <c:axId val="422366896"/>
        <c:axId val="808926576"/>
      </c:barChart>
      <c:catAx>
        <c:axId val="422366896"/>
        <c:scaling>
          <c:orientation val="minMax"/>
        </c:scaling>
        <c:delete val="1"/>
        <c:axPos val="b"/>
        <c:numFmt formatCode="General" sourceLinked="0"/>
        <c:majorTickMark val="none"/>
        <c:minorTickMark val="none"/>
        <c:tickLblPos val="nextTo"/>
        <c:crossAx val="808926576"/>
        <c:crosses val="autoZero"/>
        <c:auto val="1"/>
        <c:lblAlgn val="ctr"/>
        <c:lblOffset val="100"/>
        <c:noMultiLvlLbl val="0"/>
      </c:catAx>
      <c:valAx>
        <c:axId val="808926576"/>
        <c:scaling>
          <c:orientation val="minMax"/>
          <c:max val="30.0"/>
        </c:scaling>
        <c:delete val="0"/>
        <c:axPos val="l"/>
        <c:majorGridlines/>
        <c:numFmt formatCode="0" sourceLinked="1"/>
        <c:majorTickMark val="none"/>
        <c:minorTickMark val="none"/>
        <c:tickLblPos val="nextTo"/>
        <c:spPr>
          <a:ln w="9525">
            <a:noFill/>
          </a:ln>
        </c:spPr>
        <c:crossAx val="42236689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300"/>
              <a:t>Chart 4:  Student TPT "Developing"</a:t>
            </a:r>
            <a:r>
              <a:rPr lang="en-US" sz="1300" baseline="0"/>
              <a:t> Percentages  per Teacher </a:t>
            </a:r>
          </a:p>
          <a:p>
            <a:pPr>
              <a:defRPr/>
            </a:pPr>
            <a:r>
              <a:rPr lang="en-US" sz="1300" baseline="0"/>
              <a:t>Ratings </a:t>
            </a:r>
            <a:endParaRPr lang="en-US" sz="1300"/>
          </a:p>
        </c:rich>
      </c:tx>
      <c:overlay val="0"/>
    </c:title>
    <c:autoTitleDeleted val="0"/>
    <c:plotArea>
      <c:layout/>
      <c:barChart>
        <c:barDir val="col"/>
        <c:grouping val="clustered"/>
        <c:varyColors val="0"/>
        <c:ser>
          <c:idx val="0"/>
          <c:order val="0"/>
          <c:tx>
            <c:strRef>
              <c:f>'TPT All'!$DB$220</c:f>
              <c:strCache>
                <c:ptCount val="1"/>
                <c:pt idx="0">
                  <c:v>Initial</c:v>
                </c:pt>
              </c:strCache>
            </c:strRef>
          </c:tx>
          <c:invertIfNegative val="0"/>
          <c:cat>
            <c:strRef>
              <c:f>('TPT All'!$CK$197:$CK$217,'TPT All'!$CP$197:$CP$217)</c:f>
              <c:strCache>
                <c:ptCount val="42"/>
                <c:pt idx="0">
                  <c:v>1.0</c:v>
                </c:pt>
                <c:pt idx="1">
                  <c:v>1.1</c:v>
                </c:pt>
                <c:pt idx="2">
                  <c:v>1.1a</c:v>
                </c:pt>
                <c:pt idx="3">
                  <c:v>1.1b</c:v>
                </c:pt>
                <c:pt idx="4">
                  <c:v>1.1c</c:v>
                </c:pt>
                <c:pt idx="5">
                  <c:v>1.2</c:v>
                </c:pt>
                <c:pt idx="6">
                  <c:v>1.2a</c:v>
                </c:pt>
                <c:pt idx="7">
                  <c:v>1.2b</c:v>
                </c:pt>
                <c:pt idx="8">
                  <c:v>1.2c</c:v>
                </c:pt>
                <c:pt idx="9">
                  <c:v>1.2d</c:v>
                </c:pt>
                <c:pt idx="10">
                  <c:v>1.3</c:v>
                </c:pt>
                <c:pt idx="11">
                  <c:v>1.3a</c:v>
                </c:pt>
                <c:pt idx="12">
                  <c:v>1.3b</c:v>
                </c:pt>
                <c:pt idx="13">
                  <c:v>1.3c</c:v>
                </c:pt>
                <c:pt idx="14">
                  <c:v>1.3d</c:v>
                </c:pt>
                <c:pt idx="15">
                  <c:v>1.4</c:v>
                </c:pt>
                <c:pt idx="16">
                  <c:v>1.4a</c:v>
                </c:pt>
                <c:pt idx="17">
                  <c:v>1.4b</c:v>
                </c:pt>
                <c:pt idx="18">
                  <c:v>1.4c</c:v>
                </c:pt>
                <c:pt idx="19">
                  <c:v>1.4d</c:v>
                </c:pt>
                <c:pt idx="20">
                  <c:v>1.4e</c:v>
                </c:pt>
                <c:pt idx="21">
                  <c:v>2.0</c:v>
                </c:pt>
                <c:pt idx="22">
                  <c:v>2.1</c:v>
                </c:pt>
                <c:pt idx="23">
                  <c:v>2.1a</c:v>
                </c:pt>
                <c:pt idx="24">
                  <c:v>2.1b</c:v>
                </c:pt>
                <c:pt idx="25">
                  <c:v>2.1c</c:v>
                </c:pt>
                <c:pt idx="26">
                  <c:v>2.2</c:v>
                </c:pt>
                <c:pt idx="27">
                  <c:v>2.2a</c:v>
                </c:pt>
                <c:pt idx="28">
                  <c:v>2.2b</c:v>
                </c:pt>
                <c:pt idx="29">
                  <c:v>2.2c</c:v>
                </c:pt>
                <c:pt idx="30">
                  <c:v>2.2d</c:v>
                </c:pt>
                <c:pt idx="31">
                  <c:v>2.3</c:v>
                </c:pt>
                <c:pt idx="32">
                  <c:v>2.3a</c:v>
                </c:pt>
                <c:pt idx="33">
                  <c:v>2.3b</c:v>
                </c:pt>
                <c:pt idx="34">
                  <c:v>2.3c</c:v>
                </c:pt>
                <c:pt idx="35">
                  <c:v>2.3d</c:v>
                </c:pt>
                <c:pt idx="36">
                  <c:v>2.4</c:v>
                </c:pt>
                <c:pt idx="37">
                  <c:v>2.4a</c:v>
                </c:pt>
                <c:pt idx="38">
                  <c:v>2.4b</c:v>
                </c:pt>
                <c:pt idx="39">
                  <c:v>2.4c</c:v>
                </c:pt>
                <c:pt idx="40">
                  <c:v>2.4d</c:v>
                </c:pt>
                <c:pt idx="41">
                  <c:v>2.4e</c:v>
                </c:pt>
              </c:strCache>
            </c:strRef>
          </c:cat>
          <c:val>
            <c:numRef>
              <c:f>'TPT All'!$CW$197:$CW$217</c:f>
              <c:numCache>
                <c:formatCode>0%</c:formatCode>
                <c:ptCount val="21"/>
                <c:pt idx="0">
                  <c:v>0.154569342069342</c:v>
                </c:pt>
                <c:pt idx="1">
                  <c:v>0.036036036036036</c:v>
                </c:pt>
                <c:pt idx="2">
                  <c:v>0.027027027027027</c:v>
                </c:pt>
                <c:pt idx="3">
                  <c:v>0.0</c:v>
                </c:pt>
                <c:pt idx="4">
                  <c:v>0.0810810810810811</c:v>
                </c:pt>
                <c:pt idx="5">
                  <c:v>0.243243243243243</c:v>
                </c:pt>
                <c:pt idx="6">
                  <c:v>0.27027027027027</c:v>
                </c:pt>
                <c:pt idx="7">
                  <c:v>0.243243243243243</c:v>
                </c:pt>
                <c:pt idx="8">
                  <c:v>0.216216216216216</c:v>
                </c:pt>
                <c:pt idx="9">
                  <c:v>0.243243243243243</c:v>
                </c:pt>
                <c:pt idx="10">
                  <c:v>0.176835926835927</c:v>
                </c:pt>
                <c:pt idx="11">
                  <c:v>0.0810810810810811</c:v>
                </c:pt>
                <c:pt idx="12">
                  <c:v>0.25</c:v>
                </c:pt>
                <c:pt idx="13">
                  <c:v>0.181818181818182</c:v>
                </c:pt>
                <c:pt idx="14">
                  <c:v>0.194444444444444</c:v>
                </c:pt>
                <c:pt idx="15">
                  <c:v>0.162162162162162</c:v>
                </c:pt>
                <c:pt idx="16">
                  <c:v>0.27027027027027</c:v>
                </c:pt>
                <c:pt idx="17">
                  <c:v>0.324324324324324</c:v>
                </c:pt>
                <c:pt idx="18">
                  <c:v>0.135135135135135</c:v>
                </c:pt>
                <c:pt idx="19">
                  <c:v>0.0540540540540541</c:v>
                </c:pt>
                <c:pt idx="20">
                  <c:v>0.027027027027027</c:v>
                </c:pt>
              </c:numCache>
            </c:numRef>
          </c:val>
        </c:ser>
        <c:ser>
          <c:idx val="1"/>
          <c:order val="1"/>
          <c:tx>
            <c:strRef>
              <c:f>'TPT All'!$DC$220</c:f>
              <c:strCache>
                <c:ptCount val="1"/>
                <c:pt idx="0">
                  <c:v>Final</c:v>
                </c:pt>
              </c:strCache>
            </c:strRef>
          </c:tx>
          <c:invertIfNegative val="0"/>
          <c:cat>
            <c:strRef>
              <c:f>('TPT All'!$CK$197:$CK$217,'TPT All'!$CP$197:$CP$217)</c:f>
              <c:strCache>
                <c:ptCount val="42"/>
                <c:pt idx="0">
                  <c:v>1.0</c:v>
                </c:pt>
                <c:pt idx="1">
                  <c:v>1.1</c:v>
                </c:pt>
                <c:pt idx="2">
                  <c:v>1.1a</c:v>
                </c:pt>
                <c:pt idx="3">
                  <c:v>1.1b</c:v>
                </c:pt>
                <c:pt idx="4">
                  <c:v>1.1c</c:v>
                </c:pt>
                <c:pt idx="5">
                  <c:v>1.2</c:v>
                </c:pt>
                <c:pt idx="6">
                  <c:v>1.2a</c:v>
                </c:pt>
                <c:pt idx="7">
                  <c:v>1.2b</c:v>
                </c:pt>
                <c:pt idx="8">
                  <c:v>1.2c</c:v>
                </c:pt>
                <c:pt idx="9">
                  <c:v>1.2d</c:v>
                </c:pt>
                <c:pt idx="10">
                  <c:v>1.3</c:v>
                </c:pt>
                <c:pt idx="11">
                  <c:v>1.3a</c:v>
                </c:pt>
                <c:pt idx="12">
                  <c:v>1.3b</c:v>
                </c:pt>
                <c:pt idx="13">
                  <c:v>1.3c</c:v>
                </c:pt>
                <c:pt idx="14">
                  <c:v>1.3d</c:v>
                </c:pt>
                <c:pt idx="15">
                  <c:v>1.4</c:v>
                </c:pt>
                <c:pt idx="16">
                  <c:v>1.4a</c:v>
                </c:pt>
                <c:pt idx="17">
                  <c:v>1.4b</c:v>
                </c:pt>
                <c:pt idx="18">
                  <c:v>1.4c</c:v>
                </c:pt>
                <c:pt idx="19">
                  <c:v>1.4d</c:v>
                </c:pt>
                <c:pt idx="20">
                  <c:v>1.4e</c:v>
                </c:pt>
                <c:pt idx="21">
                  <c:v>2.0</c:v>
                </c:pt>
                <c:pt idx="22">
                  <c:v>2.1</c:v>
                </c:pt>
                <c:pt idx="23">
                  <c:v>2.1a</c:v>
                </c:pt>
                <c:pt idx="24">
                  <c:v>2.1b</c:v>
                </c:pt>
                <c:pt idx="25">
                  <c:v>2.1c</c:v>
                </c:pt>
                <c:pt idx="26">
                  <c:v>2.2</c:v>
                </c:pt>
                <c:pt idx="27">
                  <c:v>2.2a</c:v>
                </c:pt>
                <c:pt idx="28">
                  <c:v>2.2b</c:v>
                </c:pt>
                <c:pt idx="29">
                  <c:v>2.2c</c:v>
                </c:pt>
                <c:pt idx="30">
                  <c:v>2.2d</c:v>
                </c:pt>
                <c:pt idx="31">
                  <c:v>2.3</c:v>
                </c:pt>
                <c:pt idx="32">
                  <c:v>2.3a</c:v>
                </c:pt>
                <c:pt idx="33">
                  <c:v>2.3b</c:v>
                </c:pt>
                <c:pt idx="34">
                  <c:v>2.3c</c:v>
                </c:pt>
                <c:pt idx="35">
                  <c:v>2.3d</c:v>
                </c:pt>
                <c:pt idx="36">
                  <c:v>2.4</c:v>
                </c:pt>
                <c:pt idx="37">
                  <c:v>2.4a</c:v>
                </c:pt>
                <c:pt idx="38">
                  <c:v>2.4b</c:v>
                </c:pt>
                <c:pt idx="39">
                  <c:v>2.4c</c:v>
                </c:pt>
                <c:pt idx="40">
                  <c:v>2.4d</c:v>
                </c:pt>
                <c:pt idx="41">
                  <c:v>2.4e</c:v>
                </c:pt>
              </c:strCache>
            </c:strRef>
          </c:cat>
          <c:val>
            <c:numRef>
              <c:f>'TPT All'!$CX$197:$CX$217</c:f>
              <c:numCache>
                <c:formatCode>0%</c:formatCode>
                <c:ptCount val="21"/>
                <c:pt idx="0">
                  <c:v>0.0124823988735279</c:v>
                </c:pt>
                <c:pt idx="1">
                  <c:v>0.0</c:v>
                </c:pt>
                <c:pt idx="2">
                  <c:v>0.0</c:v>
                </c:pt>
                <c:pt idx="3">
                  <c:v>0.0</c:v>
                </c:pt>
                <c:pt idx="4">
                  <c:v>0.0</c:v>
                </c:pt>
                <c:pt idx="5">
                  <c:v>0.0277777777777778</c:v>
                </c:pt>
                <c:pt idx="6">
                  <c:v>0.0277777777777778</c:v>
                </c:pt>
                <c:pt idx="7">
                  <c:v>0.0277777777777778</c:v>
                </c:pt>
                <c:pt idx="8">
                  <c:v>0.0277777777777778</c:v>
                </c:pt>
                <c:pt idx="9">
                  <c:v>0.0277777777777778</c:v>
                </c:pt>
                <c:pt idx="10">
                  <c:v>0.0221518177163338</c:v>
                </c:pt>
                <c:pt idx="11">
                  <c:v>0.0</c:v>
                </c:pt>
                <c:pt idx="12">
                  <c:v>0.0285714285714286</c:v>
                </c:pt>
                <c:pt idx="13">
                  <c:v>0.032258064516129</c:v>
                </c:pt>
                <c:pt idx="14">
                  <c:v>0.0277777777777778</c:v>
                </c:pt>
                <c:pt idx="15">
                  <c:v>0.0</c:v>
                </c:pt>
                <c:pt idx="16">
                  <c:v>0.0277777777777778</c:v>
                </c:pt>
                <c:pt idx="17">
                  <c:v>0.0</c:v>
                </c:pt>
                <c:pt idx="18">
                  <c:v>0.0</c:v>
                </c:pt>
                <c:pt idx="19">
                  <c:v>0.0</c:v>
                </c:pt>
                <c:pt idx="20">
                  <c:v>0.0</c:v>
                </c:pt>
              </c:numCache>
            </c:numRef>
          </c:val>
        </c:ser>
        <c:dLbls>
          <c:showLegendKey val="0"/>
          <c:showVal val="0"/>
          <c:showCatName val="0"/>
          <c:showSerName val="0"/>
          <c:showPercent val="0"/>
          <c:showBubbleSize val="0"/>
        </c:dLbls>
        <c:gapWidth val="150"/>
        <c:axId val="809380112"/>
        <c:axId val="808921744"/>
      </c:barChart>
      <c:catAx>
        <c:axId val="809380112"/>
        <c:scaling>
          <c:orientation val="minMax"/>
        </c:scaling>
        <c:delete val="0"/>
        <c:axPos val="b"/>
        <c:numFmt formatCode="General" sourceLinked="1"/>
        <c:majorTickMark val="out"/>
        <c:minorTickMark val="none"/>
        <c:tickLblPos val="nextTo"/>
        <c:txPr>
          <a:bodyPr/>
          <a:lstStyle/>
          <a:p>
            <a:pPr>
              <a:defRPr baseline="0">
                <a:latin typeface="Times New Roman" panose="02020603050405020304" pitchFamily="18" charset="0"/>
              </a:defRPr>
            </a:pPr>
            <a:endParaRPr lang="en-US"/>
          </a:p>
        </c:txPr>
        <c:crossAx val="808921744"/>
        <c:crosses val="autoZero"/>
        <c:auto val="1"/>
        <c:lblAlgn val="ctr"/>
        <c:lblOffset val="100"/>
        <c:noMultiLvlLbl val="0"/>
      </c:catAx>
      <c:valAx>
        <c:axId val="808921744"/>
        <c:scaling>
          <c:orientation val="minMax"/>
          <c:max val="0.45"/>
        </c:scaling>
        <c:delete val="0"/>
        <c:axPos val="l"/>
        <c:majorGridlines/>
        <c:numFmt formatCode="0%" sourceLinked="1"/>
        <c:majorTickMark val="out"/>
        <c:minorTickMark val="none"/>
        <c:tickLblPos val="nextTo"/>
        <c:crossAx val="809380112"/>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300"/>
              <a:t>Chart 5:  Student TPT "Developing" Respons Percentage per Students'  Self-Scoring</a:t>
            </a:r>
          </a:p>
        </c:rich>
      </c:tx>
      <c:layout>
        <c:manualLayout>
          <c:xMode val="edge"/>
          <c:yMode val="edge"/>
          <c:x val="0.141151427189163"/>
          <c:y val="0.024096390622098"/>
        </c:manualLayout>
      </c:layout>
      <c:overlay val="0"/>
    </c:title>
    <c:autoTitleDeleted val="0"/>
    <c:plotArea>
      <c:layout/>
      <c:barChart>
        <c:barDir val="col"/>
        <c:grouping val="clustered"/>
        <c:varyColors val="0"/>
        <c:ser>
          <c:idx val="0"/>
          <c:order val="0"/>
          <c:tx>
            <c:strRef>
              <c:f>'TPT All'!$DB$220</c:f>
              <c:strCache>
                <c:ptCount val="1"/>
                <c:pt idx="0">
                  <c:v>Initial</c:v>
                </c:pt>
              </c:strCache>
            </c:strRef>
          </c:tx>
          <c:invertIfNegative val="0"/>
          <c:cat>
            <c:strRef>
              <c:f>'TPT All'!$DK$222:$DK$242</c:f>
              <c:strCache>
                <c:ptCount val="21"/>
                <c:pt idx="0">
                  <c:v>1.0</c:v>
                </c:pt>
                <c:pt idx="1">
                  <c:v>1.1</c:v>
                </c:pt>
                <c:pt idx="2">
                  <c:v>1.1a</c:v>
                </c:pt>
                <c:pt idx="3">
                  <c:v>1.1b</c:v>
                </c:pt>
                <c:pt idx="4">
                  <c:v>1.1c</c:v>
                </c:pt>
                <c:pt idx="5">
                  <c:v>1.2</c:v>
                </c:pt>
                <c:pt idx="6">
                  <c:v>1.2a</c:v>
                </c:pt>
                <c:pt idx="7">
                  <c:v>1.2b</c:v>
                </c:pt>
                <c:pt idx="8">
                  <c:v>1.2c</c:v>
                </c:pt>
                <c:pt idx="9">
                  <c:v>1.2d</c:v>
                </c:pt>
                <c:pt idx="10">
                  <c:v>1.3</c:v>
                </c:pt>
                <c:pt idx="11">
                  <c:v>1.3a</c:v>
                </c:pt>
                <c:pt idx="12">
                  <c:v>1.3b</c:v>
                </c:pt>
                <c:pt idx="13">
                  <c:v>1.3c</c:v>
                </c:pt>
                <c:pt idx="14">
                  <c:v>1.3d</c:v>
                </c:pt>
                <c:pt idx="15">
                  <c:v>1.4</c:v>
                </c:pt>
                <c:pt idx="16">
                  <c:v>1.4a</c:v>
                </c:pt>
                <c:pt idx="17">
                  <c:v>1.4b</c:v>
                </c:pt>
                <c:pt idx="18">
                  <c:v>1.4c</c:v>
                </c:pt>
                <c:pt idx="19">
                  <c:v>1.4d</c:v>
                </c:pt>
                <c:pt idx="20">
                  <c:v>1.4e</c:v>
                </c:pt>
              </c:strCache>
            </c:strRef>
          </c:cat>
          <c:val>
            <c:numRef>
              <c:f>'TPT All'!$DL$222:$DL$242</c:f>
              <c:numCache>
                <c:formatCode>0%</c:formatCode>
                <c:ptCount val="21"/>
                <c:pt idx="0">
                  <c:v>0.264370162070634</c:v>
                </c:pt>
                <c:pt idx="1">
                  <c:v>0.163522012578616</c:v>
                </c:pt>
                <c:pt idx="2">
                  <c:v>0.169811320754717</c:v>
                </c:pt>
                <c:pt idx="3">
                  <c:v>0.0943396226415094</c:v>
                </c:pt>
                <c:pt idx="4">
                  <c:v>0.226415094339623</c:v>
                </c:pt>
                <c:pt idx="5">
                  <c:v>0.330188679245283</c:v>
                </c:pt>
                <c:pt idx="6">
                  <c:v>0.358490566037736</c:v>
                </c:pt>
                <c:pt idx="7">
                  <c:v>0.264150943396226</c:v>
                </c:pt>
                <c:pt idx="8">
                  <c:v>0.30188679245283</c:v>
                </c:pt>
                <c:pt idx="9">
                  <c:v>0.39622641509434</c:v>
                </c:pt>
                <c:pt idx="10">
                  <c:v>0.323203918722787</c:v>
                </c:pt>
                <c:pt idx="11">
                  <c:v>0.113207547169811</c:v>
                </c:pt>
                <c:pt idx="12">
                  <c:v>0.358490566037736</c:v>
                </c:pt>
                <c:pt idx="13">
                  <c:v>0.519230769230769</c:v>
                </c:pt>
                <c:pt idx="14">
                  <c:v>0.30188679245283</c:v>
                </c:pt>
                <c:pt idx="15">
                  <c:v>0.240566037735849</c:v>
                </c:pt>
                <c:pt idx="16">
                  <c:v>0.169811320754717</c:v>
                </c:pt>
                <c:pt idx="17">
                  <c:v>0.283018867924528</c:v>
                </c:pt>
                <c:pt idx="18">
                  <c:v>0.377358490566038</c:v>
                </c:pt>
                <c:pt idx="19">
                  <c:v>0.188679245283019</c:v>
                </c:pt>
                <c:pt idx="20">
                  <c:v>0.113207547169811</c:v>
                </c:pt>
              </c:numCache>
            </c:numRef>
          </c:val>
        </c:ser>
        <c:ser>
          <c:idx val="1"/>
          <c:order val="1"/>
          <c:tx>
            <c:strRef>
              <c:f>'TPT All'!$DC$220</c:f>
              <c:strCache>
                <c:ptCount val="1"/>
                <c:pt idx="0">
                  <c:v>Final</c:v>
                </c:pt>
              </c:strCache>
            </c:strRef>
          </c:tx>
          <c:invertIfNegative val="0"/>
          <c:cat>
            <c:strRef>
              <c:f>'TPT All'!$DK$222:$DK$242</c:f>
              <c:strCache>
                <c:ptCount val="21"/>
                <c:pt idx="0">
                  <c:v>1.0</c:v>
                </c:pt>
                <c:pt idx="1">
                  <c:v>1.1</c:v>
                </c:pt>
                <c:pt idx="2">
                  <c:v>1.1a</c:v>
                </c:pt>
                <c:pt idx="3">
                  <c:v>1.1b</c:v>
                </c:pt>
                <c:pt idx="4">
                  <c:v>1.1c</c:v>
                </c:pt>
                <c:pt idx="5">
                  <c:v>1.2</c:v>
                </c:pt>
                <c:pt idx="6">
                  <c:v>1.2a</c:v>
                </c:pt>
                <c:pt idx="7">
                  <c:v>1.2b</c:v>
                </c:pt>
                <c:pt idx="8">
                  <c:v>1.2c</c:v>
                </c:pt>
                <c:pt idx="9">
                  <c:v>1.2d</c:v>
                </c:pt>
                <c:pt idx="10">
                  <c:v>1.3</c:v>
                </c:pt>
                <c:pt idx="11">
                  <c:v>1.3a</c:v>
                </c:pt>
                <c:pt idx="12">
                  <c:v>1.3b</c:v>
                </c:pt>
                <c:pt idx="13">
                  <c:v>1.3c</c:v>
                </c:pt>
                <c:pt idx="14">
                  <c:v>1.3d</c:v>
                </c:pt>
                <c:pt idx="15">
                  <c:v>1.4</c:v>
                </c:pt>
                <c:pt idx="16">
                  <c:v>1.4a</c:v>
                </c:pt>
                <c:pt idx="17">
                  <c:v>1.4b</c:v>
                </c:pt>
                <c:pt idx="18">
                  <c:v>1.4c</c:v>
                </c:pt>
                <c:pt idx="19">
                  <c:v>1.4d</c:v>
                </c:pt>
                <c:pt idx="20">
                  <c:v>1.4e</c:v>
                </c:pt>
              </c:strCache>
            </c:strRef>
          </c:cat>
          <c:val>
            <c:numRef>
              <c:f>'TPT All'!$DM$222:$DM$242</c:f>
              <c:numCache>
                <c:formatCode>0%</c:formatCode>
                <c:ptCount val="21"/>
                <c:pt idx="0">
                  <c:v>0.0782828282828283</c:v>
                </c:pt>
                <c:pt idx="1">
                  <c:v>0.0707070707070707</c:v>
                </c:pt>
                <c:pt idx="2">
                  <c:v>0.0303030303030303</c:v>
                </c:pt>
                <c:pt idx="3">
                  <c:v>0.0909090909090909</c:v>
                </c:pt>
                <c:pt idx="4">
                  <c:v>0.0909090909090909</c:v>
                </c:pt>
                <c:pt idx="5">
                  <c:v>0.0833333333333333</c:v>
                </c:pt>
                <c:pt idx="6">
                  <c:v>0.0909090909090909</c:v>
                </c:pt>
                <c:pt idx="7">
                  <c:v>0.0909090909090909</c:v>
                </c:pt>
                <c:pt idx="8">
                  <c:v>0.0909090909090909</c:v>
                </c:pt>
                <c:pt idx="9">
                  <c:v>0.0606060606060606</c:v>
                </c:pt>
                <c:pt idx="10">
                  <c:v>0.0984848484848485</c:v>
                </c:pt>
                <c:pt idx="11">
                  <c:v>0.0606060606060606</c:v>
                </c:pt>
                <c:pt idx="12">
                  <c:v>0.121212121212121</c:v>
                </c:pt>
                <c:pt idx="13">
                  <c:v>0.121212121212121</c:v>
                </c:pt>
                <c:pt idx="14">
                  <c:v>0.0909090909090909</c:v>
                </c:pt>
                <c:pt idx="15">
                  <c:v>0.0606060606060606</c:v>
                </c:pt>
                <c:pt idx="16">
                  <c:v>0.0303030303030303</c:v>
                </c:pt>
                <c:pt idx="17">
                  <c:v>0.0909090909090909</c:v>
                </c:pt>
                <c:pt idx="18">
                  <c:v>0.0606060606060606</c:v>
                </c:pt>
                <c:pt idx="19">
                  <c:v>0.0303030303030303</c:v>
                </c:pt>
                <c:pt idx="20">
                  <c:v>0.0606060606060606</c:v>
                </c:pt>
              </c:numCache>
            </c:numRef>
          </c:val>
        </c:ser>
        <c:dLbls>
          <c:showLegendKey val="0"/>
          <c:showVal val="0"/>
          <c:showCatName val="0"/>
          <c:showSerName val="0"/>
          <c:showPercent val="0"/>
          <c:showBubbleSize val="0"/>
        </c:dLbls>
        <c:gapWidth val="150"/>
        <c:axId val="504306256"/>
        <c:axId val="504308304"/>
      </c:barChart>
      <c:catAx>
        <c:axId val="504306256"/>
        <c:scaling>
          <c:orientation val="minMax"/>
        </c:scaling>
        <c:delete val="0"/>
        <c:axPos val="b"/>
        <c:numFmt formatCode="General" sourceLinked="0"/>
        <c:majorTickMark val="out"/>
        <c:minorTickMark val="none"/>
        <c:tickLblPos val="nextTo"/>
        <c:crossAx val="504308304"/>
        <c:crosses val="autoZero"/>
        <c:auto val="1"/>
        <c:lblAlgn val="ctr"/>
        <c:lblOffset val="100"/>
        <c:noMultiLvlLbl val="0"/>
      </c:catAx>
      <c:valAx>
        <c:axId val="504308304"/>
        <c:scaling>
          <c:orientation val="minMax"/>
        </c:scaling>
        <c:delete val="0"/>
        <c:axPos val="l"/>
        <c:majorGridlines/>
        <c:numFmt formatCode="0%" sourceLinked="1"/>
        <c:majorTickMark val="out"/>
        <c:minorTickMark val="none"/>
        <c:tickLblPos val="nextTo"/>
        <c:crossAx val="50430625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sz="1300"/>
              <a:t>Chart 6: Program Satisfaction Survey by Completers</a:t>
            </a:r>
          </a:p>
        </c:rich>
      </c:tx>
      <c:layout>
        <c:manualLayout>
          <c:xMode val="edge"/>
          <c:yMode val="edge"/>
          <c:x val="0.202094017094017"/>
          <c:y val="0.030839313326343"/>
        </c:manualLayout>
      </c:layout>
      <c:overlay val="0"/>
    </c:title>
    <c:autoTitleDeleted val="0"/>
    <c:plotArea>
      <c:layout/>
      <c:barChart>
        <c:barDir val="col"/>
        <c:grouping val="clustered"/>
        <c:varyColors val="0"/>
        <c:ser>
          <c:idx val="0"/>
          <c:order val="0"/>
          <c:tx>
            <c:v>Very Satisfied</c:v>
          </c:tx>
          <c:invertIfNegative val="0"/>
          <c:val>
            <c:numRef>
              <c:f>'[2017 Survey Results.xlsx]Analysis'!$L$5:$L$23</c:f>
              <c:numCache>
                <c:formatCode>0%</c:formatCode>
                <c:ptCount val="19"/>
                <c:pt idx="0">
                  <c:v>0.555555555555556</c:v>
                </c:pt>
                <c:pt idx="1">
                  <c:v>0.444444444444444</c:v>
                </c:pt>
                <c:pt idx="2">
                  <c:v>0.5</c:v>
                </c:pt>
                <c:pt idx="3">
                  <c:v>0.555555555555556</c:v>
                </c:pt>
                <c:pt idx="4">
                  <c:v>0.666666666666667</c:v>
                </c:pt>
                <c:pt idx="5">
                  <c:v>0.888888888888889</c:v>
                </c:pt>
                <c:pt idx="6">
                  <c:v>0.777777777777778</c:v>
                </c:pt>
                <c:pt idx="7">
                  <c:v>0.666666666666667</c:v>
                </c:pt>
                <c:pt idx="8">
                  <c:v>0.555555555555556</c:v>
                </c:pt>
                <c:pt idx="9">
                  <c:v>0.888888888888889</c:v>
                </c:pt>
                <c:pt idx="10">
                  <c:v>1.0</c:v>
                </c:pt>
                <c:pt idx="11">
                  <c:v>0.888888888888889</c:v>
                </c:pt>
                <c:pt idx="12">
                  <c:v>1.0</c:v>
                </c:pt>
                <c:pt idx="13">
                  <c:v>0.777777777777778</c:v>
                </c:pt>
                <c:pt idx="14">
                  <c:v>0.888888888888889</c:v>
                </c:pt>
                <c:pt idx="15">
                  <c:v>0.777777777777778</c:v>
                </c:pt>
                <c:pt idx="16">
                  <c:v>1.0</c:v>
                </c:pt>
                <c:pt idx="17">
                  <c:v>1.0</c:v>
                </c:pt>
                <c:pt idx="18">
                  <c:v>0.888888888888889</c:v>
                </c:pt>
              </c:numCache>
            </c:numRef>
          </c:val>
        </c:ser>
        <c:ser>
          <c:idx val="1"/>
          <c:order val="1"/>
          <c:tx>
            <c:v>Somewhat Satisfied</c:v>
          </c:tx>
          <c:invertIfNegative val="0"/>
          <c:val>
            <c:numRef>
              <c:f>'[2017 Survey Results.xlsx]Analysis'!$M$5:$M$23</c:f>
              <c:numCache>
                <c:formatCode>0%</c:formatCode>
                <c:ptCount val="19"/>
                <c:pt idx="0">
                  <c:v>0.444444444444444</c:v>
                </c:pt>
                <c:pt idx="1">
                  <c:v>0.555555555555556</c:v>
                </c:pt>
                <c:pt idx="2">
                  <c:v>0.5</c:v>
                </c:pt>
                <c:pt idx="3">
                  <c:v>0.444444444444444</c:v>
                </c:pt>
                <c:pt idx="4">
                  <c:v>0.222222222222222</c:v>
                </c:pt>
                <c:pt idx="5">
                  <c:v>0.111111111111111</c:v>
                </c:pt>
                <c:pt idx="6">
                  <c:v>0.222222222222222</c:v>
                </c:pt>
                <c:pt idx="7">
                  <c:v>0.333333333333333</c:v>
                </c:pt>
                <c:pt idx="8">
                  <c:v>0.333333333333333</c:v>
                </c:pt>
                <c:pt idx="9">
                  <c:v>0.111111111111111</c:v>
                </c:pt>
                <c:pt idx="10">
                  <c:v>0.0</c:v>
                </c:pt>
                <c:pt idx="11">
                  <c:v>0.111111111111111</c:v>
                </c:pt>
                <c:pt idx="12">
                  <c:v>0.0</c:v>
                </c:pt>
                <c:pt idx="13">
                  <c:v>0.222222222222222</c:v>
                </c:pt>
                <c:pt idx="14">
                  <c:v>0.111111111111111</c:v>
                </c:pt>
                <c:pt idx="15">
                  <c:v>0.222222222222222</c:v>
                </c:pt>
                <c:pt idx="16">
                  <c:v>0.0</c:v>
                </c:pt>
                <c:pt idx="17">
                  <c:v>0.0</c:v>
                </c:pt>
                <c:pt idx="18">
                  <c:v>0.111111111111111</c:v>
                </c:pt>
              </c:numCache>
            </c:numRef>
          </c:val>
        </c:ser>
        <c:ser>
          <c:idx val="2"/>
          <c:order val="2"/>
          <c:tx>
            <c:v>Somewhat Unsatisfed</c:v>
          </c:tx>
          <c:invertIfNegative val="0"/>
          <c:val>
            <c:numRef>
              <c:f>'[2017 Survey Results.xlsx]Analysis'!$N$5:$N$23</c:f>
              <c:numCache>
                <c:formatCode>0%</c:formatCode>
                <c:ptCount val="19"/>
                <c:pt idx="0">
                  <c:v>0.0</c:v>
                </c:pt>
                <c:pt idx="1">
                  <c:v>0.0</c:v>
                </c:pt>
                <c:pt idx="2">
                  <c:v>0.0</c:v>
                </c:pt>
                <c:pt idx="3">
                  <c:v>0.0</c:v>
                </c:pt>
                <c:pt idx="4">
                  <c:v>0.111111111111111</c:v>
                </c:pt>
                <c:pt idx="5">
                  <c:v>0.0</c:v>
                </c:pt>
                <c:pt idx="6">
                  <c:v>0.0</c:v>
                </c:pt>
                <c:pt idx="7">
                  <c:v>0.0</c:v>
                </c:pt>
                <c:pt idx="8">
                  <c:v>0.111111111111111</c:v>
                </c:pt>
                <c:pt idx="9">
                  <c:v>0.0</c:v>
                </c:pt>
                <c:pt idx="10">
                  <c:v>0.0</c:v>
                </c:pt>
                <c:pt idx="11">
                  <c:v>0.0</c:v>
                </c:pt>
                <c:pt idx="12">
                  <c:v>0.0</c:v>
                </c:pt>
                <c:pt idx="13">
                  <c:v>0.0</c:v>
                </c:pt>
                <c:pt idx="14">
                  <c:v>0.0</c:v>
                </c:pt>
                <c:pt idx="15">
                  <c:v>0.0</c:v>
                </c:pt>
                <c:pt idx="16">
                  <c:v>0.0</c:v>
                </c:pt>
                <c:pt idx="17">
                  <c:v>0.0</c:v>
                </c:pt>
                <c:pt idx="18">
                  <c:v>0.0</c:v>
                </c:pt>
              </c:numCache>
            </c:numRef>
          </c:val>
        </c:ser>
        <c:ser>
          <c:idx val="3"/>
          <c:order val="3"/>
          <c:tx>
            <c:v>Very Unsatisfied</c:v>
          </c:tx>
          <c:invertIfNegative val="0"/>
          <c:val>
            <c:numRef>
              <c:f>'[2017 Survey Results.xlsx]Analysis'!$O$5:$O$23</c:f>
              <c:numCache>
                <c:formatCode>0%</c:formatCode>
                <c:ptCount val="19"/>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numCache>
            </c:numRef>
          </c:val>
        </c:ser>
        <c:dLbls>
          <c:showLegendKey val="0"/>
          <c:showVal val="0"/>
          <c:showCatName val="0"/>
          <c:showSerName val="0"/>
          <c:showPercent val="0"/>
          <c:showBubbleSize val="0"/>
        </c:dLbls>
        <c:gapWidth val="91"/>
        <c:overlap val="-18"/>
        <c:axId val="374851664"/>
        <c:axId val="465304032"/>
      </c:barChart>
      <c:catAx>
        <c:axId val="374851664"/>
        <c:scaling>
          <c:orientation val="minMax"/>
        </c:scaling>
        <c:delete val="0"/>
        <c:axPos val="b"/>
        <c:majorTickMark val="none"/>
        <c:minorTickMark val="none"/>
        <c:tickLblPos val="nextTo"/>
        <c:crossAx val="465304032"/>
        <c:crosses val="autoZero"/>
        <c:auto val="1"/>
        <c:lblAlgn val="ctr"/>
        <c:lblOffset val="100"/>
        <c:noMultiLvlLbl val="0"/>
      </c:catAx>
      <c:valAx>
        <c:axId val="465304032"/>
        <c:scaling>
          <c:orientation val="minMax"/>
          <c:max val="1.0"/>
        </c:scaling>
        <c:delete val="0"/>
        <c:axPos val="l"/>
        <c:majorGridlines/>
        <c:numFmt formatCode="0%" sourceLinked="1"/>
        <c:majorTickMark val="none"/>
        <c:minorTickMark val="none"/>
        <c:tickLblPos val="nextTo"/>
        <c:spPr>
          <a:ln w="9525">
            <a:noFill/>
          </a:ln>
        </c:spPr>
        <c:crossAx val="374851664"/>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sz="1300"/>
              <a:t>Chart 7:  Developing</a:t>
            </a:r>
            <a:r>
              <a:rPr lang="en-US" sz="1300" baseline="0"/>
              <a:t> Percentages for Employer &amp; STE Reponses</a:t>
            </a:r>
            <a:endParaRPr lang="en-US" sz="1300"/>
          </a:p>
        </c:rich>
      </c:tx>
      <c:overlay val="0"/>
    </c:title>
    <c:autoTitleDeleted val="0"/>
    <c:plotArea>
      <c:layout/>
      <c:barChart>
        <c:barDir val="col"/>
        <c:grouping val="clustered"/>
        <c:varyColors val="0"/>
        <c:ser>
          <c:idx val="0"/>
          <c:order val="0"/>
          <c:tx>
            <c:strRef>
              <c:f>Surveys!$M$32</c:f>
              <c:strCache>
                <c:ptCount val="1"/>
                <c:pt idx="0">
                  <c:v>Employer</c:v>
                </c:pt>
              </c:strCache>
            </c:strRef>
          </c:tx>
          <c:invertIfNegative val="0"/>
          <c:cat>
            <c:strRef>
              <c:f>Surveys!$L$33:$L$42</c:f>
              <c:strCache>
                <c:ptCount val="10"/>
                <c:pt idx="0">
                  <c:v>InTASC 1</c:v>
                </c:pt>
                <c:pt idx="1">
                  <c:v>InTASC 2</c:v>
                </c:pt>
                <c:pt idx="2">
                  <c:v>InTASC 3</c:v>
                </c:pt>
                <c:pt idx="3">
                  <c:v>InTASC 4</c:v>
                </c:pt>
                <c:pt idx="4">
                  <c:v>InTASC 5</c:v>
                </c:pt>
                <c:pt idx="5">
                  <c:v>InTASC 6</c:v>
                </c:pt>
                <c:pt idx="6">
                  <c:v>InTASC 7</c:v>
                </c:pt>
                <c:pt idx="7">
                  <c:v>InTASC 8</c:v>
                </c:pt>
                <c:pt idx="8">
                  <c:v>InTASC 9</c:v>
                </c:pt>
                <c:pt idx="9">
                  <c:v>InTASC 10</c:v>
                </c:pt>
              </c:strCache>
            </c:strRef>
          </c:cat>
          <c:val>
            <c:numRef>
              <c:f>Surveys!$M$33:$M$42</c:f>
              <c:numCache>
                <c:formatCode>0%</c:formatCode>
                <c:ptCount val="10"/>
                <c:pt idx="0">
                  <c:v>0.1</c:v>
                </c:pt>
                <c:pt idx="1">
                  <c:v>0.0592592592592593</c:v>
                </c:pt>
                <c:pt idx="2">
                  <c:v>0.201680672268908</c:v>
                </c:pt>
                <c:pt idx="3">
                  <c:v>0.247619047619048</c:v>
                </c:pt>
                <c:pt idx="4">
                  <c:v>0.233333333333333</c:v>
                </c:pt>
                <c:pt idx="5">
                  <c:v>0.295238095238095</c:v>
                </c:pt>
                <c:pt idx="6">
                  <c:v>0.123809523809524</c:v>
                </c:pt>
                <c:pt idx="7">
                  <c:v>0.171428571428571</c:v>
                </c:pt>
                <c:pt idx="8">
                  <c:v>0.188888888888889</c:v>
                </c:pt>
                <c:pt idx="9">
                  <c:v>0.114285714285714</c:v>
                </c:pt>
              </c:numCache>
            </c:numRef>
          </c:val>
        </c:ser>
        <c:ser>
          <c:idx val="1"/>
          <c:order val="1"/>
          <c:tx>
            <c:strRef>
              <c:f>Surveys!$N$32</c:f>
              <c:strCache>
                <c:ptCount val="1"/>
                <c:pt idx="0">
                  <c:v>STE MT</c:v>
                </c:pt>
              </c:strCache>
            </c:strRef>
          </c:tx>
          <c:invertIfNegative val="0"/>
          <c:cat>
            <c:strRef>
              <c:f>Surveys!$L$33:$L$42</c:f>
              <c:strCache>
                <c:ptCount val="10"/>
                <c:pt idx="0">
                  <c:v>InTASC 1</c:v>
                </c:pt>
                <c:pt idx="1">
                  <c:v>InTASC 2</c:v>
                </c:pt>
                <c:pt idx="2">
                  <c:v>InTASC 3</c:v>
                </c:pt>
                <c:pt idx="3">
                  <c:v>InTASC 4</c:v>
                </c:pt>
                <c:pt idx="4">
                  <c:v>InTASC 5</c:v>
                </c:pt>
                <c:pt idx="5">
                  <c:v>InTASC 6</c:v>
                </c:pt>
                <c:pt idx="6">
                  <c:v>InTASC 7</c:v>
                </c:pt>
                <c:pt idx="7">
                  <c:v>InTASC 8</c:v>
                </c:pt>
                <c:pt idx="8">
                  <c:v>InTASC 9</c:v>
                </c:pt>
                <c:pt idx="9">
                  <c:v>InTASC 10</c:v>
                </c:pt>
              </c:strCache>
            </c:strRef>
          </c:cat>
          <c:val>
            <c:numRef>
              <c:f>Surveys!$N$33:$N$42</c:f>
              <c:numCache>
                <c:formatCode>0%</c:formatCode>
                <c:ptCount val="10"/>
                <c:pt idx="0">
                  <c:v>0.12</c:v>
                </c:pt>
                <c:pt idx="1">
                  <c:v>0.12</c:v>
                </c:pt>
                <c:pt idx="2">
                  <c:v>0.11</c:v>
                </c:pt>
                <c:pt idx="3">
                  <c:v>0.12</c:v>
                </c:pt>
                <c:pt idx="4">
                  <c:v>0.11</c:v>
                </c:pt>
                <c:pt idx="5">
                  <c:v>0.26</c:v>
                </c:pt>
                <c:pt idx="6">
                  <c:v>0.15</c:v>
                </c:pt>
                <c:pt idx="7">
                  <c:v>0.16</c:v>
                </c:pt>
                <c:pt idx="8">
                  <c:v>0.11</c:v>
                </c:pt>
                <c:pt idx="9">
                  <c:v>0.07</c:v>
                </c:pt>
              </c:numCache>
            </c:numRef>
          </c:val>
        </c:ser>
        <c:dLbls>
          <c:showLegendKey val="0"/>
          <c:showVal val="0"/>
          <c:showCatName val="0"/>
          <c:showSerName val="0"/>
          <c:showPercent val="0"/>
          <c:showBubbleSize val="0"/>
        </c:dLbls>
        <c:gapWidth val="150"/>
        <c:axId val="464592144"/>
        <c:axId val="762762656"/>
      </c:barChart>
      <c:catAx>
        <c:axId val="464592144"/>
        <c:scaling>
          <c:orientation val="minMax"/>
        </c:scaling>
        <c:delete val="0"/>
        <c:axPos val="b"/>
        <c:numFmt formatCode="General" sourceLinked="0"/>
        <c:majorTickMark val="out"/>
        <c:minorTickMark val="none"/>
        <c:tickLblPos val="nextTo"/>
        <c:crossAx val="762762656"/>
        <c:crosses val="autoZero"/>
        <c:auto val="1"/>
        <c:lblAlgn val="ctr"/>
        <c:lblOffset val="100"/>
        <c:noMultiLvlLbl val="0"/>
      </c:catAx>
      <c:valAx>
        <c:axId val="762762656"/>
        <c:scaling>
          <c:orientation val="minMax"/>
        </c:scaling>
        <c:delete val="0"/>
        <c:axPos val="l"/>
        <c:majorGridlines/>
        <c:numFmt formatCode="0%" sourceLinked="1"/>
        <c:majorTickMark val="out"/>
        <c:minorTickMark val="none"/>
        <c:tickLblPos val="nextTo"/>
        <c:crossAx val="46459214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sz="1300"/>
              <a:t>Chart</a:t>
            </a:r>
            <a:r>
              <a:rPr lang="en-US" sz="1300" baseline="0"/>
              <a:t> 8: </a:t>
            </a:r>
            <a:r>
              <a:rPr lang="en-US" sz="1300"/>
              <a:t>IEFA</a:t>
            </a:r>
            <a:r>
              <a:rPr lang="en-US" sz="1300" baseline="0"/>
              <a:t> Assessment</a:t>
            </a:r>
            <a:endParaRPr lang="en-US" sz="1300"/>
          </a:p>
        </c:rich>
      </c:tx>
      <c:overlay val="0"/>
    </c:title>
    <c:autoTitleDeleted val="0"/>
    <c:plotArea>
      <c:layout/>
      <c:barChart>
        <c:barDir val="col"/>
        <c:grouping val="clustered"/>
        <c:varyColors val="0"/>
        <c:ser>
          <c:idx val="0"/>
          <c:order val="0"/>
          <c:tx>
            <c:strRef>
              <c:f>IEFA!$U$5</c:f>
              <c:strCache>
                <c:ptCount val="1"/>
                <c:pt idx="0">
                  <c:v>Pre-Test</c:v>
                </c:pt>
              </c:strCache>
            </c:strRef>
          </c:tx>
          <c:invertIfNegative val="0"/>
          <c:val>
            <c:numRef>
              <c:f>IEFA!$U$6:$U$16</c:f>
              <c:numCache>
                <c:formatCode>General</c:formatCode>
                <c:ptCount val="11"/>
                <c:pt idx="0">
                  <c:v>7.0</c:v>
                </c:pt>
                <c:pt idx="1">
                  <c:v>8.0</c:v>
                </c:pt>
                <c:pt idx="2">
                  <c:v>7.0</c:v>
                </c:pt>
                <c:pt idx="3">
                  <c:v>24.0</c:v>
                </c:pt>
                <c:pt idx="4">
                  <c:v>13.0</c:v>
                </c:pt>
                <c:pt idx="5">
                  <c:v>17.0</c:v>
                </c:pt>
                <c:pt idx="6">
                  <c:v>8.0</c:v>
                </c:pt>
                <c:pt idx="7">
                  <c:v>0.0</c:v>
                </c:pt>
                <c:pt idx="8">
                  <c:v>5.0</c:v>
                </c:pt>
                <c:pt idx="9">
                  <c:v>17.0</c:v>
                </c:pt>
                <c:pt idx="10">
                  <c:v>6.0</c:v>
                </c:pt>
              </c:numCache>
            </c:numRef>
          </c:val>
        </c:ser>
        <c:ser>
          <c:idx val="1"/>
          <c:order val="1"/>
          <c:tx>
            <c:strRef>
              <c:f>IEFA!$V$5</c:f>
              <c:strCache>
                <c:ptCount val="1"/>
                <c:pt idx="0">
                  <c:v>Post-Test</c:v>
                </c:pt>
              </c:strCache>
            </c:strRef>
          </c:tx>
          <c:invertIfNegative val="0"/>
          <c:val>
            <c:numRef>
              <c:f>IEFA!$V$6:$V$16</c:f>
              <c:numCache>
                <c:formatCode>General</c:formatCode>
                <c:ptCount val="11"/>
                <c:pt idx="0">
                  <c:v>35.0</c:v>
                </c:pt>
                <c:pt idx="1">
                  <c:v>35.0</c:v>
                </c:pt>
                <c:pt idx="2">
                  <c:v>35.0</c:v>
                </c:pt>
                <c:pt idx="3">
                  <c:v>35.0</c:v>
                </c:pt>
                <c:pt idx="4">
                  <c:v>35.0</c:v>
                </c:pt>
                <c:pt idx="5">
                  <c:v>35.0</c:v>
                </c:pt>
                <c:pt idx="6">
                  <c:v>35.0</c:v>
                </c:pt>
                <c:pt idx="7">
                  <c:v>35.0</c:v>
                </c:pt>
                <c:pt idx="8">
                  <c:v>35.0</c:v>
                </c:pt>
                <c:pt idx="9">
                  <c:v>35.0</c:v>
                </c:pt>
                <c:pt idx="10">
                  <c:v>35.0</c:v>
                </c:pt>
              </c:numCache>
            </c:numRef>
          </c:val>
        </c:ser>
        <c:ser>
          <c:idx val="2"/>
          <c:order val="2"/>
          <c:tx>
            <c:strRef>
              <c:f>IEFA!$W$5</c:f>
              <c:strCache>
                <c:ptCount val="1"/>
                <c:pt idx="0">
                  <c:v>Gain</c:v>
                </c:pt>
              </c:strCache>
            </c:strRef>
          </c:tx>
          <c:invertIfNegative val="0"/>
          <c:val>
            <c:numRef>
              <c:f>IEFA!$W$6:$W$16</c:f>
              <c:numCache>
                <c:formatCode>General</c:formatCode>
                <c:ptCount val="11"/>
                <c:pt idx="0">
                  <c:v>28.0</c:v>
                </c:pt>
                <c:pt idx="1">
                  <c:v>27.0</c:v>
                </c:pt>
                <c:pt idx="2">
                  <c:v>28.0</c:v>
                </c:pt>
                <c:pt idx="3">
                  <c:v>11.0</c:v>
                </c:pt>
                <c:pt idx="4">
                  <c:v>22.0</c:v>
                </c:pt>
                <c:pt idx="5">
                  <c:v>18.0</c:v>
                </c:pt>
                <c:pt idx="6">
                  <c:v>27.0</c:v>
                </c:pt>
                <c:pt idx="7">
                  <c:v>35.0</c:v>
                </c:pt>
                <c:pt idx="8">
                  <c:v>30.0</c:v>
                </c:pt>
                <c:pt idx="9">
                  <c:v>18.0</c:v>
                </c:pt>
                <c:pt idx="10">
                  <c:v>29.0</c:v>
                </c:pt>
              </c:numCache>
            </c:numRef>
          </c:val>
        </c:ser>
        <c:dLbls>
          <c:showLegendKey val="0"/>
          <c:showVal val="0"/>
          <c:showCatName val="0"/>
          <c:showSerName val="0"/>
          <c:showPercent val="0"/>
          <c:showBubbleSize val="0"/>
        </c:dLbls>
        <c:gapWidth val="150"/>
        <c:axId val="375078288"/>
        <c:axId val="812579280"/>
      </c:barChart>
      <c:catAx>
        <c:axId val="375078288"/>
        <c:scaling>
          <c:orientation val="minMax"/>
        </c:scaling>
        <c:delete val="0"/>
        <c:axPos val="b"/>
        <c:majorTickMark val="none"/>
        <c:minorTickMark val="none"/>
        <c:tickLblPos val="nextTo"/>
        <c:crossAx val="812579280"/>
        <c:crosses val="autoZero"/>
        <c:auto val="1"/>
        <c:lblAlgn val="ctr"/>
        <c:lblOffset val="100"/>
        <c:noMultiLvlLbl val="0"/>
      </c:catAx>
      <c:valAx>
        <c:axId val="812579280"/>
        <c:scaling>
          <c:orientation val="minMax"/>
        </c:scaling>
        <c:delete val="0"/>
        <c:axPos val="l"/>
        <c:majorGridlines/>
        <c:title>
          <c:tx>
            <c:strRef>
              <c:f>IEFA!$W$26</c:f>
              <c:strCache>
                <c:ptCount val="1"/>
                <c:pt idx="0">
                  <c:v>Points</c:v>
                </c:pt>
              </c:strCache>
            </c:strRef>
          </c:tx>
          <c:layout>
            <c:manualLayout>
              <c:xMode val="edge"/>
              <c:yMode val="edge"/>
              <c:x val="0.0555555555555555"/>
              <c:y val="0.282152960046661"/>
            </c:manualLayout>
          </c:layout>
          <c:overlay val="0"/>
          <c:txPr>
            <a:bodyPr rot="0" vert="wordArtVert"/>
            <a:lstStyle/>
            <a:p>
              <a:pPr>
                <a:defRPr/>
              </a:pPr>
              <a:endParaRPr lang="en-US"/>
            </a:p>
          </c:txPr>
        </c:title>
        <c:numFmt formatCode="General" sourceLinked="1"/>
        <c:majorTickMark val="none"/>
        <c:minorTickMark val="none"/>
        <c:tickLblPos val="nextTo"/>
        <c:crossAx val="3750782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0.06907</cdr:x>
      <cdr:y>0.52955</cdr:y>
    </cdr:from>
    <cdr:to>
      <cdr:x>0.96703</cdr:x>
      <cdr:y>0.53189</cdr:y>
    </cdr:to>
    <cdr:cxnSp macro="">
      <cdr:nvCxnSpPr>
        <cdr:cNvPr id="2" name="Straight Connector 1"/>
        <cdr:cNvCxnSpPr/>
      </cdr:nvCxnSpPr>
      <cdr:spPr>
        <a:xfrm xmlns:a="http://schemas.openxmlformats.org/drawingml/2006/main">
          <a:off x="410547" y="2108718"/>
          <a:ext cx="5337110" cy="9331"/>
        </a:xfrm>
        <a:prstGeom xmlns:a="http://schemas.openxmlformats.org/drawingml/2006/main" prst="line">
          <a:avLst/>
        </a:prstGeom>
        <a:ln xmlns:a="http://schemas.openxmlformats.org/drawingml/2006/main" w="190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BA87C-BD2B-7740-88BA-EEE7D5A03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17737</Words>
  <Characters>101107</Characters>
  <Application>Microsoft Macintosh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Salish Kootenai College DIVISION of Education Data Analysis Report for 2014-17 OPI Review</vt:lpstr>
    </vt:vector>
  </TitlesOfParts>
  <Company>Toshiba</Company>
  <LinksUpToDate>false</LinksUpToDate>
  <CharactersWithSpaces>118607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Salish Kootenai College DIVISION of Education Data Analysis Report for 2014-17 OPI Review</dc:title>
  <dc:creator>mjf</dc:creator>
  <cp:lastModifiedBy>Microsoft Office User</cp:lastModifiedBy>
  <cp:revision>2</cp:revision>
  <cp:lastPrinted>2017-09-11T10:21:00Z</cp:lastPrinted>
  <dcterms:created xsi:type="dcterms:W3CDTF">2017-09-18T21:47:00Z</dcterms:created>
  <dcterms:modified xsi:type="dcterms:W3CDTF">2017-09-18T21:47:00Z</dcterms:modified>
</cp:coreProperties>
</file>